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after="240" w:line="360" w:lineRule="auto"/>
        <w:jc w:val="center"/>
        <w:rPr>
          <w:rFonts w:eastAsia="等线"/>
          <w:sz w:val="24"/>
        </w:rPr>
      </w:pPr>
    </w:p>
    <w:p>
      <w:pPr>
        <w:pStyle w:val="6"/>
        <w:spacing w:after="240" w:line="360" w:lineRule="auto"/>
        <w:jc w:val="center"/>
        <w:rPr>
          <w:rFonts w:eastAsia="等线"/>
          <w:sz w:val="24"/>
        </w:rPr>
      </w:pPr>
    </w:p>
    <w:p>
      <w:pPr>
        <w:pStyle w:val="6"/>
        <w:spacing w:line="360" w:lineRule="auto"/>
        <w:jc w:val="center"/>
      </w:pPr>
      <w:bookmarkStart w:id="0" w:name="_Toc65571298"/>
      <w:bookmarkStart w:id="1" w:name="_Toc65570803"/>
      <w:r>
        <w:rPr>
          <w:rFonts w:ascii="Times New Roman" w:hAnsi="Times New Roman"/>
          <w:sz w:val="44"/>
        </w:rPr>
        <w:drawing>
          <wp:inline distT="0" distB="0" distL="114300" distR="114300">
            <wp:extent cx="2755265" cy="765175"/>
            <wp:effectExtent l="0" t="0" r="6985" b="15875"/>
            <wp:docPr id="1" name="图片 2" descr="C:\Users\lujie\Desktop\logo.p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lujie\Desktop\logo.pnglogo"/>
                    <pic:cNvPicPr>
                      <a:picLocks noChangeAspect="1"/>
                    </pic:cNvPicPr>
                  </pic:nvPicPr>
                  <pic:blipFill>
                    <a:blip r:embed="rId8"/>
                    <a:stretch>
                      <a:fillRect/>
                    </a:stretch>
                  </pic:blipFill>
                  <pic:spPr>
                    <a:xfrm>
                      <a:off x="0" y="0"/>
                      <a:ext cx="2755265" cy="765175"/>
                    </a:xfrm>
                    <a:prstGeom prst="rect">
                      <a:avLst/>
                    </a:prstGeom>
                    <a:noFill/>
                    <a:ln>
                      <a:noFill/>
                    </a:ln>
                  </pic:spPr>
                </pic:pic>
              </a:graphicData>
            </a:graphic>
          </wp:inline>
        </w:drawing>
      </w:r>
      <w:bookmarkEnd w:id="0"/>
      <w:bookmarkEnd w:id="1"/>
    </w:p>
    <w:p>
      <w:pPr>
        <w:pStyle w:val="6"/>
        <w:spacing w:line="360" w:lineRule="auto"/>
        <w:rPr>
          <w:b/>
          <w:bCs/>
          <w:sz w:val="36"/>
          <w:szCs w:val="36"/>
        </w:rPr>
      </w:pPr>
    </w:p>
    <w:p>
      <w:pPr>
        <w:pStyle w:val="6"/>
        <w:spacing w:after="0" w:line="360" w:lineRule="auto"/>
        <w:jc w:val="center"/>
        <w:rPr>
          <w:b/>
          <w:bCs/>
          <w:sz w:val="44"/>
          <w:szCs w:val="44"/>
        </w:rPr>
      </w:pPr>
    </w:p>
    <w:p>
      <w:pPr>
        <w:pStyle w:val="6"/>
        <w:spacing w:after="0" w:line="360" w:lineRule="auto"/>
        <w:jc w:val="center"/>
        <w:rPr>
          <w:b/>
          <w:bCs/>
          <w:sz w:val="44"/>
          <w:szCs w:val="44"/>
        </w:rPr>
      </w:pPr>
      <w:r>
        <w:rPr>
          <w:rFonts w:hint="eastAsia"/>
          <w:b/>
          <w:bCs/>
          <w:sz w:val="44"/>
          <w:szCs w:val="44"/>
        </w:rPr>
        <w:t>三川智慧科技股份有限公司</w:t>
      </w:r>
    </w:p>
    <w:p>
      <w:pPr>
        <w:pStyle w:val="6"/>
        <w:spacing w:after="0" w:line="360" w:lineRule="auto"/>
        <w:jc w:val="center"/>
        <w:rPr>
          <w:rFonts w:ascii="Times New Roman" w:hAnsi="Times New Roman"/>
          <w:b/>
          <w:bCs/>
          <w:sz w:val="30"/>
          <w:szCs w:val="30"/>
        </w:rPr>
      </w:pPr>
      <w:r>
        <w:rPr>
          <w:rFonts w:ascii="Times New Roman" w:hAnsi="Times New Roman"/>
          <w:sz w:val="30"/>
          <w:szCs w:val="30"/>
        </w:rPr>
        <w:t>Sanchuan Wisdom Technology Co.,Ltd</w:t>
      </w:r>
      <w:r>
        <w:rPr>
          <w:rFonts w:hint="eastAsia" w:ascii="Times New Roman" w:hAnsi="Times New Roman"/>
          <w:sz w:val="30"/>
          <w:szCs w:val="30"/>
        </w:rPr>
        <w:t>.</w:t>
      </w:r>
    </w:p>
    <w:p>
      <w:pPr>
        <w:spacing w:before="1000" w:line="240" w:lineRule="exact"/>
        <w:jc w:val="center"/>
        <w:rPr>
          <w:rFonts w:ascii="宋体" w:hAnsi="宋体" w:eastAsia="宋体" w:cs="宋体"/>
          <w:b/>
          <w:bCs/>
          <w:sz w:val="32"/>
          <w:szCs w:val="32"/>
        </w:rPr>
      </w:pPr>
      <w:r>
        <w:rPr>
          <w:rFonts w:ascii="宋体" w:hAnsi="宋体" w:eastAsia="宋体" w:cs="宋体"/>
          <w:b/>
          <w:bCs/>
          <w:sz w:val="32"/>
          <w:szCs w:val="32"/>
        </w:rPr>
        <w:t>2022年年度报告</w:t>
      </w:r>
    </w:p>
    <w:p>
      <w:pPr>
        <w:spacing w:before="1000" w:line="240" w:lineRule="exact"/>
        <w:jc w:val="center"/>
        <w:rPr>
          <w:rFonts w:ascii="宋体" w:hAnsi="宋体" w:eastAsia="宋体" w:cs="宋体"/>
          <w:b/>
          <w:bCs/>
          <w:sz w:val="32"/>
          <w:szCs w:val="32"/>
        </w:rPr>
      </w:pPr>
      <w:r>
        <w:rPr>
          <w:rFonts w:hint="eastAsia" w:ascii="宋体" w:hAnsi="宋体" w:eastAsia="宋体" w:cs="宋体"/>
          <w:b/>
          <w:bCs/>
          <w:sz w:val="32"/>
          <w:szCs w:val="32"/>
        </w:rPr>
        <w:t>公告编号：</w:t>
      </w:r>
      <w:r>
        <w:rPr>
          <w:rFonts w:ascii="宋体" w:hAnsi="宋体" w:eastAsia="宋体" w:cs="宋体"/>
          <w:b/>
          <w:bCs/>
          <w:sz w:val="32"/>
          <w:szCs w:val="32"/>
        </w:rPr>
        <w:t>2023-013</w:t>
      </w:r>
    </w:p>
    <w:p>
      <w:pPr>
        <w:spacing w:before="1000" w:after="1000" w:line="0" w:lineRule="atLeast"/>
        <w:jc w:val="center"/>
        <w:rPr>
          <w:rFonts w:ascii="Times New Roman" w:hAnsi="Times New Roman" w:eastAsia="宋体" w:cs="Times New Roman"/>
        </w:rPr>
      </w:pPr>
    </w:p>
    <w:p>
      <w:pPr>
        <w:spacing w:before="400" w:line="320" w:lineRule="exact"/>
        <w:jc w:val="center"/>
        <w:rPr>
          <w:rFonts w:ascii="宋体" w:hAnsi="宋体" w:eastAsia="宋体" w:cs="宋体"/>
          <w:b/>
          <w:bCs/>
          <w:sz w:val="32"/>
          <w:szCs w:val="32"/>
        </w:rPr>
      </w:pPr>
    </w:p>
    <w:p>
      <w:pPr>
        <w:spacing w:before="400" w:line="320" w:lineRule="exact"/>
        <w:jc w:val="both"/>
        <w:rPr>
          <w:rFonts w:ascii="宋体" w:hAnsi="宋体" w:eastAsia="宋体" w:cs="宋体"/>
          <w:b/>
          <w:bCs/>
          <w:sz w:val="32"/>
          <w:szCs w:val="32"/>
        </w:rPr>
      </w:pPr>
    </w:p>
    <w:p>
      <w:pPr>
        <w:spacing w:before="400" w:line="320" w:lineRule="exact"/>
        <w:jc w:val="center"/>
        <w:rPr>
          <w:rFonts w:ascii="宋体" w:hAnsi="宋体" w:eastAsia="宋体" w:cs="宋体"/>
          <w:b/>
          <w:bCs/>
          <w:sz w:val="32"/>
          <w:szCs w:val="32"/>
        </w:rPr>
      </w:pPr>
      <w:r>
        <w:rPr>
          <w:rFonts w:hint="eastAsia" w:ascii="宋体" w:hAnsi="宋体" w:eastAsia="宋体" w:cs="宋体"/>
          <w:b/>
          <w:bCs/>
          <w:sz w:val="32"/>
          <w:szCs w:val="32"/>
        </w:rPr>
        <w:t>二0二三年三月</w:t>
      </w:r>
    </w:p>
    <w:p>
      <w:r>
        <w:br w:type="page"/>
      </w:r>
    </w:p>
    <w:p>
      <w:pPr>
        <w:pStyle w:val="20"/>
        <w:spacing w:before="340" w:after="330" w:line="773" w:lineRule="exact"/>
        <w:jc w:val="center"/>
        <w:rPr>
          <w:rFonts w:ascii="宋体" w:hAnsi="宋体" w:eastAsia="宋体" w:cs="宋体"/>
          <w:b/>
          <w:bCs/>
          <w:sz w:val="32"/>
          <w:szCs w:val="32"/>
        </w:rPr>
      </w:pPr>
      <w:bookmarkStart w:id="2" w:name="_Toc988889"/>
      <w:r>
        <w:rPr>
          <w:rFonts w:ascii="宋体" w:hAnsi="宋体" w:eastAsia="宋体" w:cs="宋体"/>
          <w:b/>
          <w:bCs/>
          <w:sz w:val="32"/>
          <w:szCs w:val="32"/>
        </w:rPr>
        <w:t>第一节 重要提示、目录和释义</w:t>
      </w:r>
      <w:bookmarkEnd w:id="2"/>
    </w:p>
    <w:p>
      <w:pPr>
        <w:spacing w:before="40" w:after="40" w:line="560" w:lineRule="exact"/>
        <w:ind w:firstLine="560" w:firstLineChars="200"/>
        <w:rPr>
          <w:rFonts w:ascii="宋体" w:hAnsi="宋体" w:eastAsia="宋体" w:cs="宋体"/>
          <w:b/>
          <w:bCs/>
          <w:sz w:val="28"/>
          <w:szCs w:val="28"/>
        </w:rPr>
      </w:pPr>
      <w:r>
        <w:rPr>
          <w:rFonts w:ascii="宋体" w:hAnsi="宋体" w:eastAsia="宋体" w:cs="宋体"/>
          <w:b/>
          <w:bCs/>
          <w:sz w:val="28"/>
          <w:szCs w:val="28"/>
        </w:rPr>
        <w:t>公司董事会、监事会及董事、监事、高级管理人员保证年度报告内容的真实、准确、完整，不存在虚假记载、误导性陈述或者重大遗漏，并承担个别和连带的法律责任。</w:t>
      </w:r>
    </w:p>
    <w:p>
      <w:pPr>
        <w:spacing w:line="560" w:lineRule="exact"/>
        <w:ind w:firstLine="560" w:firstLineChars="200"/>
        <w:rPr>
          <w:rFonts w:ascii="宋体" w:hAnsi="宋体" w:eastAsia="宋体" w:cs="宋体"/>
          <w:b/>
          <w:bCs/>
          <w:sz w:val="28"/>
          <w:szCs w:val="28"/>
        </w:rPr>
      </w:pPr>
      <w:r>
        <w:rPr>
          <w:rFonts w:ascii="宋体" w:hAnsi="宋体" w:eastAsia="宋体" w:cs="宋体"/>
          <w:b/>
          <w:bCs/>
          <w:sz w:val="28"/>
          <w:szCs w:val="28"/>
        </w:rPr>
        <w:t>公司负责人李建林、主管会计工作负责人童为民及会计机构负责人(会计主管人员)刘建华声明：保证本年度报告中财务报告的真实、准确、完整。</w:t>
      </w:r>
    </w:p>
    <w:p>
      <w:pPr>
        <w:spacing w:line="560" w:lineRule="exact"/>
        <w:rPr>
          <w:rFonts w:ascii="宋体" w:hAnsi="宋体" w:eastAsia="宋体" w:cs="宋体"/>
          <w:b/>
          <w:bCs/>
          <w:sz w:val="28"/>
          <w:szCs w:val="28"/>
        </w:rPr>
      </w:pPr>
      <w:r>
        <w:rPr>
          <w:rFonts w:ascii="宋体" w:hAnsi="宋体" w:eastAsia="宋体" w:cs="宋体"/>
          <w:b/>
          <w:bCs/>
          <w:sz w:val="28"/>
          <w:szCs w:val="28"/>
        </w:rPr>
        <w:t>所有董事均已出席了审议本报告的董事会会议。</w:t>
      </w:r>
    </w:p>
    <w:p>
      <w:pPr>
        <w:pStyle w:val="11"/>
        <w:spacing w:line="560" w:lineRule="atLeast"/>
        <w:ind w:firstLine="648"/>
        <w:rPr>
          <w:b/>
          <w:bCs/>
          <w:sz w:val="28"/>
          <w:szCs w:val="28"/>
        </w:rPr>
      </w:pPr>
      <w:r>
        <w:rPr>
          <w:rFonts w:hint="eastAsia"/>
          <w:b/>
          <w:bCs/>
          <w:sz w:val="28"/>
          <w:szCs w:val="28"/>
        </w:rPr>
        <w:t>本报告中如有涉及未来计划、业绩预测等方面的内容，均不构成本公司对任何投资者及相关人士的承诺，投资者及相关人士均应对此保持足够的风险认识，并且应当理解计划、预测与承诺之间的差异。</w:t>
      </w:r>
    </w:p>
    <w:p>
      <w:pPr>
        <w:pStyle w:val="11"/>
        <w:spacing w:beforeAutospacing="0" w:afterAutospacing="0" w:line="560" w:lineRule="atLeast"/>
        <w:ind w:firstLine="648"/>
        <w:rPr>
          <w:b/>
          <w:bCs/>
          <w:sz w:val="28"/>
          <w:szCs w:val="28"/>
        </w:rPr>
      </w:pPr>
      <w:r>
        <w:rPr>
          <w:rFonts w:hint="eastAsia"/>
          <w:b/>
          <w:bCs/>
          <w:sz w:val="28"/>
          <w:szCs w:val="28"/>
        </w:rPr>
        <w:t>公司在生产经营中可能面临房地产业周期性波动、技术创新或产品更新、新产品新领域所面临的市场开拓、商誉减值、应收账款回收、汇率波动等风险，有关风险因素内容与对策在本报告第三节“管理层讨论与分析”之“十一、公司未来发展的展望”中“（三）公司可能面对的风险和应对措施”部分予以描述。敬请广大投资者注意投资风险。</w:t>
      </w:r>
    </w:p>
    <w:p>
      <w:pPr>
        <w:spacing w:line="560" w:lineRule="exact"/>
        <w:ind w:firstLine="560" w:firstLineChars="200"/>
        <w:rPr>
          <w:rFonts w:ascii="宋体" w:hAnsi="宋体" w:eastAsia="宋体" w:cs="宋体"/>
          <w:b/>
          <w:bCs/>
          <w:sz w:val="28"/>
          <w:szCs w:val="28"/>
        </w:rPr>
      </w:pPr>
      <w:r>
        <w:rPr>
          <w:rFonts w:ascii="宋体" w:hAnsi="宋体" w:eastAsia="宋体" w:cs="宋体"/>
          <w:b/>
          <w:bCs/>
          <w:sz w:val="28"/>
          <w:szCs w:val="28"/>
        </w:rPr>
        <w:t>公司经本次董事会审议通过的利润分配预案为：以1,040,033,262股为基数，向全体股东每10股派发现金红利0.3元（含税），送红股0股（含税），以资本公积金向全体股东每10股转增0股。</w:t>
      </w:r>
    </w:p>
    <w:p>
      <w:r>
        <w:br w:type="page"/>
      </w:r>
    </w:p>
    <w:p>
      <w:pPr>
        <w:spacing w:line="720" w:lineRule="exact"/>
        <w:jc w:val="center"/>
        <w:rPr>
          <w:rFonts w:ascii="宋体" w:hAnsi="宋体" w:eastAsia="宋体" w:cs="宋体"/>
          <w:b/>
          <w:bCs/>
          <w:sz w:val="36"/>
          <w:szCs w:val="36"/>
        </w:rPr>
      </w:pPr>
      <w:r>
        <w:rPr>
          <w:rFonts w:ascii="宋体" w:hAnsi="宋体" w:eastAsia="宋体" w:cs="宋体"/>
          <w:b/>
          <w:bCs/>
          <w:sz w:val="36"/>
          <w:szCs w:val="36"/>
        </w:rPr>
        <w:t>目录</w:t>
      </w:r>
    </w:p>
    <w:p>
      <w:pPr>
        <w:pStyle w:val="6"/>
        <w:rPr>
          <w:rFonts w:ascii="宋体" w:hAnsi="宋体" w:eastAsia="宋体" w:cs="宋体"/>
          <w:b/>
          <w:bCs/>
          <w:sz w:val="36"/>
          <w:szCs w:val="36"/>
        </w:rPr>
      </w:pPr>
    </w:p>
    <w:p>
      <w:pPr>
        <w:pStyle w:val="9"/>
        <w:tabs>
          <w:tab w:val="left" w:leader="dot" w:pos="9469"/>
        </w:tabs>
        <w:rPr>
          <w:b/>
          <w:bCs/>
        </w:rPr>
      </w:pPr>
      <w:r>
        <w:rPr>
          <w:b/>
          <w:bCs/>
        </w:rPr>
        <w:fldChar w:fldCharType="begin"/>
      </w:r>
      <w:r>
        <w:rPr>
          <w:b/>
          <w:bCs/>
        </w:rPr>
        <w:instrText xml:space="preserve"> </w:instrText>
      </w:r>
      <w:r>
        <w:rPr>
          <w:rFonts w:hint="eastAsia" w:ascii="宋体" w:hAnsi="宋体" w:eastAsia="宋体"/>
          <w:b/>
          <w:bCs/>
        </w:rPr>
        <w:instrText xml:space="preserve">TOC \o "1-2" \h \z \u</w:instrText>
      </w:r>
      <w:r>
        <w:rPr>
          <w:b/>
          <w:bCs/>
        </w:rPr>
        <w:instrText xml:space="preserve"> </w:instrText>
      </w:r>
      <w:r>
        <w:rPr>
          <w:b/>
          <w:bCs/>
        </w:rPr>
        <w:fldChar w:fldCharType="separate"/>
      </w:r>
      <w:r>
        <w:fldChar w:fldCharType="begin"/>
      </w:r>
      <w:r>
        <w:instrText xml:space="preserve"> HYPERLINK \l "_Toc988889" </w:instrText>
      </w:r>
      <w:r>
        <w:fldChar w:fldCharType="separate"/>
      </w:r>
      <w:r>
        <w:rPr>
          <w:rFonts w:hint="eastAsia" w:ascii="宋体" w:hAnsi="宋体" w:eastAsia="宋体"/>
          <w:b/>
          <w:bCs/>
          <w:sz w:val="24"/>
        </w:rPr>
        <w:t>第一节 重要提示、目录和释义</w:t>
      </w:r>
      <w:r>
        <w:rPr>
          <w:b/>
          <w:bCs/>
        </w:rPr>
        <w:tab/>
      </w:r>
      <w:r>
        <w:rPr>
          <w:b/>
          <w:bCs/>
        </w:rPr>
        <w:fldChar w:fldCharType="begin"/>
      </w:r>
      <w:r>
        <w:rPr>
          <w:b/>
          <w:bCs/>
        </w:rPr>
        <w:instrText xml:space="preserve"> PAGEREF _Toc988889 \h </w:instrText>
      </w:r>
      <w:r>
        <w:rPr>
          <w:b/>
          <w:bCs/>
        </w:rPr>
        <w:fldChar w:fldCharType="separate"/>
      </w:r>
      <w:r>
        <w:rPr>
          <w:b/>
          <w:bCs/>
        </w:rPr>
        <w:t>2</w:t>
      </w:r>
      <w:r>
        <w:rPr>
          <w:b/>
          <w:bCs/>
        </w:rPr>
        <w:fldChar w:fldCharType="end"/>
      </w:r>
      <w:r>
        <w:rPr>
          <w:b/>
          <w:bCs/>
        </w:rPr>
        <w:fldChar w:fldCharType="end"/>
      </w:r>
    </w:p>
    <w:p>
      <w:pPr>
        <w:pStyle w:val="9"/>
        <w:tabs>
          <w:tab w:val="left" w:leader="dot" w:pos="9469"/>
        </w:tabs>
        <w:rPr>
          <w:b/>
          <w:bCs/>
        </w:rPr>
      </w:pPr>
      <w:r>
        <w:fldChar w:fldCharType="begin"/>
      </w:r>
      <w:r>
        <w:instrText xml:space="preserve"> HYPERLINK \l "_Toc988890" </w:instrText>
      </w:r>
      <w:r>
        <w:fldChar w:fldCharType="separate"/>
      </w:r>
      <w:r>
        <w:rPr>
          <w:rFonts w:hint="eastAsia" w:ascii="宋体" w:hAnsi="宋体" w:eastAsia="宋体"/>
          <w:b/>
          <w:bCs/>
          <w:sz w:val="24"/>
        </w:rPr>
        <w:t>第二节 公司简介和主要财务指标</w:t>
      </w:r>
      <w:r>
        <w:rPr>
          <w:b/>
          <w:bCs/>
        </w:rPr>
        <w:tab/>
      </w:r>
      <w:r>
        <w:rPr>
          <w:b/>
          <w:bCs/>
        </w:rPr>
        <w:fldChar w:fldCharType="begin"/>
      </w:r>
      <w:r>
        <w:rPr>
          <w:b/>
          <w:bCs/>
        </w:rPr>
        <w:instrText xml:space="preserve"> PAGEREF _Toc988890 \h </w:instrText>
      </w:r>
      <w:r>
        <w:rPr>
          <w:b/>
          <w:bCs/>
        </w:rPr>
        <w:fldChar w:fldCharType="separate"/>
      </w:r>
      <w:r>
        <w:rPr>
          <w:b/>
          <w:bCs/>
        </w:rPr>
        <w:t>7</w:t>
      </w:r>
      <w:r>
        <w:rPr>
          <w:b/>
          <w:bCs/>
        </w:rPr>
        <w:fldChar w:fldCharType="end"/>
      </w:r>
      <w:r>
        <w:rPr>
          <w:b/>
          <w:bCs/>
        </w:rPr>
        <w:fldChar w:fldCharType="end"/>
      </w:r>
    </w:p>
    <w:p>
      <w:pPr>
        <w:pStyle w:val="9"/>
        <w:tabs>
          <w:tab w:val="left" w:leader="dot" w:pos="9469"/>
        </w:tabs>
        <w:rPr>
          <w:b/>
          <w:bCs/>
        </w:rPr>
      </w:pPr>
      <w:r>
        <w:fldChar w:fldCharType="begin"/>
      </w:r>
      <w:r>
        <w:instrText xml:space="preserve"> HYPERLINK \l "_Toc988901" </w:instrText>
      </w:r>
      <w:r>
        <w:fldChar w:fldCharType="separate"/>
      </w:r>
      <w:r>
        <w:rPr>
          <w:rFonts w:hint="eastAsia" w:ascii="宋体" w:hAnsi="宋体" w:eastAsia="宋体"/>
          <w:b/>
          <w:bCs/>
          <w:sz w:val="24"/>
        </w:rPr>
        <w:t>第三节 管理层讨论与分析</w:t>
      </w:r>
      <w:r>
        <w:rPr>
          <w:b/>
          <w:bCs/>
        </w:rPr>
        <w:tab/>
      </w:r>
      <w:r>
        <w:rPr>
          <w:b/>
          <w:bCs/>
        </w:rPr>
        <w:fldChar w:fldCharType="begin"/>
      </w:r>
      <w:r>
        <w:rPr>
          <w:b/>
          <w:bCs/>
        </w:rPr>
        <w:instrText xml:space="preserve"> PAGEREF _Toc988901 \h </w:instrText>
      </w:r>
      <w:r>
        <w:rPr>
          <w:b/>
          <w:bCs/>
        </w:rPr>
        <w:fldChar w:fldCharType="separate"/>
      </w:r>
      <w:r>
        <w:rPr>
          <w:b/>
          <w:bCs/>
        </w:rPr>
        <w:t>10</w:t>
      </w:r>
      <w:r>
        <w:rPr>
          <w:b/>
          <w:bCs/>
        </w:rPr>
        <w:fldChar w:fldCharType="end"/>
      </w:r>
      <w:r>
        <w:rPr>
          <w:b/>
          <w:bCs/>
        </w:rPr>
        <w:fldChar w:fldCharType="end"/>
      </w:r>
    </w:p>
    <w:p>
      <w:pPr>
        <w:pStyle w:val="9"/>
        <w:tabs>
          <w:tab w:val="left" w:leader="dot" w:pos="9469"/>
        </w:tabs>
        <w:rPr>
          <w:b/>
          <w:bCs/>
        </w:rPr>
      </w:pPr>
      <w:r>
        <w:fldChar w:fldCharType="begin"/>
      </w:r>
      <w:r>
        <w:instrText xml:space="preserve"> HYPERLINK \l "_Toc988939" </w:instrText>
      </w:r>
      <w:r>
        <w:fldChar w:fldCharType="separate"/>
      </w:r>
      <w:r>
        <w:rPr>
          <w:rFonts w:hint="eastAsia" w:ascii="宋体" w:hAnsi="宋体" w:eastAsia="宋体"/>
          <w:b/>
          <w:bCs/>
          <w:sz w:val="24"/>
        </w:rPr>
        <w:t>第四节 公司治理</w:t>
      </w:r>
      <w:r>
        <w:rPr>
          <w:b/>
          <w:bCs/>
        </w:rPr>
        <w:tab/>
      </w:r>
      <w:r>
        <w:rPr>
          <w:b/>
          <w:bCs/>
        </w:rPr>
        <w:fldChar w:fldCharType="begin"/>
      </w:r>
      <w:r>
        <w:rPr>
          <w:b/>
          <w:bCs/>
        </w:rPr>
        <w:instrText xml:space="preserve"> PAGEREF _Toc988939 \h </w:instrText>
      </w:r>
      <w:r>
        <w:rPr>
          <w:b/>
          <w:bCs/>
        </w:rPr>
        <w:fldChar w:fldCharType="separate"/>
      </w:r>
      <w:r>
        <w:rPr>
          <w:b/>
          <w:bCs/>
        </w:rPr>
        <w:t>43</w:t>
      </w:r>
      <w:r>
        <w:rPr>
          <w:b/>
          <w:bCs/>
        </w:rPr>
        <w:fldChar w:fldCharType="end"/>
      </w:r>
      <w:r>
        <w:rPr>
          <w:b/>
          <w:bCs/>
        </w:rPr>
        <w:fldChar w:fldCharType="end"/>
      </w:r>
    </w:p>
    <w:p>
      <w:pPr>
        <w:pStyle w:val="9"/>
        <w:tabs>
          <w:tab w:val="left" w:leader="dot" w:pos="9469"/>
        </w:tabs>
        <w:rPr>
          <w:b/>
          <w:bCs/>
        </w:rPr>
      </w:pPr>
      <w:r>
        <w:fldChar w:fldCharType="begin"/>
      </w:r>
      <w:r>
        <w:instrText xml:space="preserve"> HYPERLINK \l "_Toc988974" </w:instrText>
      </w:r>
      <w:r>
        <w:fldChar w:fldCharType="separate"/>
      </w:r>
      <w:r>
        <w:rPr>
          <w:rFonts w:hint="eastAsia" w:ascii="宋体" w:hAnsi="宋体" w:eastAsia="宋体"/>
          <w:b/>
          <w:bCs/>
          <w:sz w:val="24"/>
        </w:rPr>
        <w:t>第五节 环境和社会责任</w:t>
      </w:r>
      <w:r>
        <w:rPr>
          <w:b/>
          <w:bCs/>
        </w:rPr>
        <w:tab/>
      </w:r>
      <w:r>
        <w:rPr>
          <w:b/>
          <w:bCs/>
        </w:rPr>
        <w:fldChar w:fldCharType="begin"/>
      </w:r>
      <w:r>
        <w:rPr>
          <w:b/>
          <w:bCs/>
        </w:rPr>
        <w:instrText xml:space="preserve"> PAGEREF _Toc988974 \h </w:instrText>
      </w:r>
      <w:r>
        <w:rPr>
          <w:b/>
          <w:bCs/>
        </w:rPr>
        <w:fldChar w:fldCharType="separate"/>
      </w:r>
      <w:r>
        <w:rPr>
          <w:b/>
          <w:bCs/>
        </w:rPr>
        <w:t>61</w:t>
      </w:r>
      <w:r>
        <w:rPr>
          <w:b/>
          <w:bCs/>
        </w:rPr>
        <w:fldChar w:fldCharType="end"/>
      </w:r>
      <w:r>
        <w:rPr>
          <w:b/>
          <w:bCs/>
        </w:rPr>
        <w:fldChar w:fldCharType="end"/>
      </w:r>
    </w:p>
    <w:p>
      <w:pPr>
        <w:pStyle w:val="9"/>
        <w:tabs>
          <w:tab w:val="left" w:leader="dot" w:pos="9469"/>
        </w:tabs>
        <w:rPr>
          <w:b/>
          <w:bCs/>
        </w:rPr>
      </w:pPr>
      <w:r>
        <w:fldChar w:fldCharType="begin"/>
      </w:r>
      <w:r>
        <w:instrText xml:space="preserve"> HYPERLINK \l "_Toc988978" </w:instrText>
      </w:r>
      <w:r>
        <w:fldChar w:fldCharType="separate"/>
      </w:r>
      <w:r>
        <w:rPr>
          <w:rFonts w:hint="eastAsia" w:ascii="宋体" w:hAnsi="宋体" w:eastAsia="宋体"/>
          <w:b/>
          <w:bCs/>
          <w:sz w:val="24"/>
        </w:rPr>
        <w:t>第六节 重要事项</w:t>
      </w:r>
      <w:r>
        <w:rPr>
          <w:b/>
          <w:bCs/>
        </w:rPr>
        <w:tab/>
      </w:r>
      <w:r>
        <w:rPr>
          <w:b/>
          <w:bCs/>
        </w:rPr>
        <w:fldChar w:fldCharType="begin"/>
      </w:r>
      <w:r>
        <w:rPr>
          <w:b/>
          <w:bCs/>
        </w:rPr>
        <w:instrText xml:space="preserve"> PAGEREF _Toc988978 \h </w:instrText>
      </w:r>
      <w:r>
        <w:rPr>
          <w:b/>
          <w:bCs/>
        </w:rPr>
        <w:fldChar w:fldCharType="separate"/>
      </w:r>
      <w:r>
        <w:rPr>
          <w:b/>
          <w:bCs/>
        </w:rPr>
        <w:t>64</w:t>
      </w:r>
      <w:r>
        <w:rPr>
          <w:b/>
          <w:bCs/>
        </w:rPr>
        <w:fldChar w:fldCharType="end"/>
      </w:r>
      <w:r>
        <w:rPr>
          <w:b/>
          <w:bCs/>
        </w:rPr>
        <w:fldChar w:fldCharType="end"/>
      </w:r>
    </w:p>
    <w:p>
      <w:pPr>
        <w:pStyle w:val="9"/>
        <w:tabs>
          <w:tab w:val="left" w:leader="dot" w:pos="9469"/>
        </w:tabs>
        <w:rPr>
          <w:b/>
          <w:bCs/>
        </w:rPr>
      </w:pPr>
      <w:r>
        <w:fldChar w:fldCharType="begin"/>
      </w:r>
      <w:r>
        <w:instrText xml:space="preserve"> HYPERLINK \l "_Toc989014" </w:instrText>
      </w:r>
      <w:r>
        <w:fldChar w:fldCharType="separate"/>
      </w:r>
      <w:r>
        <w:rPr>
          <w:rFonts w:hint="eastAsia" w:ascii="宋体" w:hAnsi="宋体" w:eastAsia="宋体"/>
          <w:b/>
          <w:bCs/>
          <w:sz w:val="24"/>
        </w:rPr>
        <w:t>第七节 股份变动及股东情况</w:t>
      </w:r>
      <w:r>
        <w:rPr>
          <w:b/>
          <w:bCs/>
        </w:rPr>
        <w:tab/>
      </w:r>
      <w:r>
        <w:rPr>
          <w:b/>
          <w:bCs/>
        </w:rPr>
        <w:fldChar w:fldCharType="begin"/>
      </w:r>
      <w:r>
        <w:rPr>
          <w:b/>
          <w:bCs/>
        </w:rPr>
        <w:instrText xml:space="preserve"> PAGEREF _Toc989014 \h </w:instrText>
      </w:r>
      <w:r>
        <w:rPr>
          <w:b/>
          <w:bCs/>
        </w:rPr>
        <w:fldChar w:fldCharType="separate"/>
      </w:r>
      <w:r>
        <w:rPr>
          <w:b/>
          <w:bCs/>
        </w:rPr>
        <w:t>73</w:t>
      </w:r>
      <w:r>
        <w:rPr>
          <w:b/>
          <w:bCs/>
        </w:rPr>
        <w:fldChar w:fldCharType="end"/>
      </w:r>
      <w:r>
        <w:rPr>
          <w:b/>
          <w:bCs/>
        </w:rPr>
        <w:fldChar w:fldCharType="end"/>
      </w:r>
    </w:p>
    <w:p>
      <w:pPr>
        <w:pStyle w:val="9"/>
        <w:tabs>
          <w:tab w:val="left" w:leader="dot" w:pos="9469"/>
        </w:tabs>
        <w:rPr>
          <w:b/>
          <w:bCs/>
        </w:rPr>
      </w:pPr>
      <w:r>
        <w:fldChar w:fldCharType="begin"/>
      </w:r>
      <w:r>
        <w:instrText xml:space="preserve"> HYPERLINK \l "_Toc989030" </w:instrText>
      </w:r>
      <w:r>
        <w:fldChar w:fldCharType="separate"/>
      </w:r>
      <w:r>
        <w:rPr>
          <w:rFonts w:hint="eastAsia" w:ascii="宋体" w:hAnsi="宋体" w:eastAsia="宋体"/>
          <w:b/>
          <w:bCs/>
          <w:sz w:val="24"/>
        </w:rPr>
        <w:t>第八节 优先股相关情况</w:t>
      </w:r>
      <w:r>
        <w:rPr>
          <w:b/>
          <w:bCs/>
        </w:rPr>
        <w:tab/>
      </w:r>
      <w:r>
        <w:rPr>
          <w:b/>
          <w:bCs/>
        </w:rPr>
        <w:fldChar w:fldCharType="begin"/>
      </w:r>
      <w:r>
        <w:rPr>
          <w:b/>
          <w:bCs/>
        </w:rPr>
        <w:instrText xml:space="preserve"> PAGEREF _Toc989030 \h </w:instrText>
      </w:r>
      <w:r>
        <w:rPr>
          <w:b/>
          <w:bCs/>
        </w:rPr>
        <w:fldChar w:fldCharType="separate"/>
      </w:r>
      <w:r>
        <w:rPr>
          <w:b/>
          <w:bCs/>
        </w:rPr>
        <w:t>79</w:t>
      </w:r>
      <w:r>
        <w:rPr>
          <w:b/>
          <w:bCs/>
        </w:rPr>
        <w:fldChar w:fldCharType="end"/>
      </w:r>
      <w:r>
        <w:rPr>
          <w:b/>
          <w:bCs/>
        </w:rPr>
        <w:fldChar w:fldCharType="end"/>
      </w:r>
    </w:p>
    <w:p>
      <w:pPr>
        <w:pStyle w:val="9"/>
        <w:tabs>
          <w:tab w:val="left" w:leader="dot" w:pos="9469"/>
        </w:tabs>
        <w:rPr>
          <w:b/>
          <w:bCs/>
        </w:rPr>
      </w:pPr>
      <w:r>
        <w:fldChar w:fldCharType="begin"/>
      </w:r>
      <w:r>
        <w:instrText xml:space="preserve"> HYPERLINK \l "_Toc989031" </w:instrText>
      </w:r>
      <w:r>
        <w:fldChar w:fldCharType="separate"/>
      </w:r>
      <w:r>
        <w:rPr>
          <w:rFonts w:hint="eastAsia" w:ascii="宋体" w:hAnsi="宋体" w:eastAsia="宋体"/>
          <w:b/>
          <w:bCs/>
          <w:sz w:val="24"/>
        </w:rPr>
        <w:t>第九节 债券相关情况</w:t>
      </w:r>
      <w:r>
        <w:rPr>
          <w:b/>
          <w:bCs/>
        </w:rPr>
        <w:tab/>
      </w:r>
      <w:r>
        <w:rPr>
          <w:b/>
          <w:bCs/>
        </w:rPr>
        <w:fldChar w:fldCharType="begin"/>
      </w:r>
      <w:r>
        <w:rPr>
          <w:b/>
          <w:bCs/>
        </w:rPr>
        <w:instrText xml:space="preserve"> PAGEREF _Toc989031 \h </w:instrText>
      </w:r>
      <w:r>
        <w:rPr>
          <w:b/>
          <w:bCs/>
        </w:rPr>
        <w:fldChar w:fldCharType="separate"/>
      </w:r>
      <w:r>
        <w:rPr>
          <w:b/>
          <w:bCs/>
        </w:rPr>
        <w:t>80</w:t>
      </w:r>
      <w:r>
        <w:rPr>
          <w:b/>
          <w:bCs/>
        </w:rPr>
        <w:fldChar w:fldCharType="end"/>
      </w:r>
      <w:r>
        <w:rPr>
          <w:b/>
          <w:bCs/>
        </w:rPr>
        <w:fldChar w:fldCharType="end"/>
      </w:r>
    </w:p>
    <w:p>
      <w:pPr>
        <w:pStyle w:val="9"/>
        <w:tabs>
          <w:tab w:val="left" w:leader="dot" w:pos="9469"/>
        </w:tabs>
      </w:pPr>
      <w:r>
        <w:fldChar w:fldCharType="begin"/>
      </w:r>
      <w:r>
        <w:instrText xml:space="preserve"> HYPERLINK \l "_Toc989032" </w:instrText>
      </w:r>
      <w:r>
        <w:fldChar w:fldCharType="separate"/>
      </w:r>
      <w:r>
        <w:rPr>
          <w:rFonts w:hint="eastAsia" w:ascii="宋体" w:hAnsi="宋体" w:eastAsia="宋体"/>
          <w:b/>
          <w:bCs/>
          <w:sz w:val="24"/>
        </w:rPr>
        <w:t>第十节 财务报告</w:t>
      </w:r>
      <w:r>
        <w:rPr>
          <w:b/>
          <w:bCs/>
        </w:rPr>
        <w:tab/>
      </w:r>
      <w:r>
        <w:rPr>
          <w:b/>
          <w:bCs/>
        </w:rPr>
        <w:fldChar w:fldCharType="begin"/>
      </w:r>
      <w:r>
        <w:rPr>
          <w:b/>
          <w:bCs/>
        </w:rPr>
        <w:instrText xml:space="preserve"> PAGEREF _Toc989032 \h </w:instrText>
      </w:r>
      <w:r>
        <w:rPr>
          <w:b/>
          <w:bCs/>
        </w:rPr>
        <w:fldChar w:fldCharType="separate"/>
      </w:r>
      <w:r>
        <w:rPr>
          <w:b/>
          <w:bCs/>
        </w:rPr>
        <w:t>81</w:t>
      </w:r>
      <w:r>
        <w:rPr>
          <w:b/>
          <w:bCs/>
        </w:rPr>
        <w:fldChar w:fldCharType="end"/>
      </w:r>
      <w:r>
        <w:rPr>
          <w:b/>
          <w:bCs/>
        </w:rPr>
        <w:fldChar w:fldCharType="end"/>
      </w:r>
      <w:r>
        <w:rPr>
          <w:b/>
          <w:bCs/>
        </w:rPr>
        <w:fldChar w:fldCharType="end"/>
      </w:r>
    </w:p>
    <w:p>
      <w:r>
        <w:br w:type="page"/>
      </w:r>
    </w:p>
    <w:p>
      <w:pPr>
        <w:spacing w:line="640" w:lineRule="exact"/>
        <w:jc w:val="center"/>
        <w:rPr>
          <w:rFonts w:ascii="宋体" w:hAnsi="宋体" w:eastAsia="宋体" w:cs="宋体"/>
          <w:b/>
          <w:bCs/>
          <w:sz w:val="32"/>
          <w:szCs w:val="32"/>
        </w:rPr>
      </w:pPr>
      <w:r>
        <w:rPr>
          <w:rFonts w:ascii="宋体" w:hAnsi="宋体" w:eastAsia="宋体" w:cs="宋体"/>
          <w:b/>
          <w:bCs/>
          <w:sz w:val="32"/>
          <w:szCs w:val="32"/>
        </w:rPr>
        <w:t>备查文件目录</w:t>
      </w:r>
    </w:p>
    <w:p>
      <w:pPr>
        <w:pStyle w:val="11"/>
        <w:spacing w:line="560" w:lineRule="atLeast"/>
        <w:ind w:firstLine="408"/>
        <w:rPr>
          <w:sz w:val="18"/>
          <w:szCs w:val="18"/>
        </w:rPr>
      </w:pPr>
      <w:r>
        <w:rPr>
          <w:rFonts w:hint="eastAsia"/>
          <w:sz w:val="18"/>
          <w:szCs w:val="18"/>
        </w:rPr>
        <w:t>一、载有公司负责人、主管会计工作负责人、会计机构负责人签名并盖章的财务报表。</w:t>
      </w:r>
    </w:p>
    <w:p>
      <w:pPr>
        <w:pStyle w:val="11"/>
        <w:spacing w:line="560" w:lineRule="atLeast"/>
        <w:ind w:firstLine="408"/>
        <w:rPr>
          <w:sz w:val="18"/>
          <w:szCs w:val="18"/>
        </w:rPr>
      </w:pPr>
      <w:r>
        <w:rPr>
          <w:rFonts w:hint="eastAsia"/>
          <w:sz w:val="18"/>
          <w:szCs w:val="18"/>
        </w:rPr>
        <w:t>二、载有会计师事务所盖章、注册会计师签名并盖章的审计报告原件。</w:t>
      </w:r>
    </w:p>
    <w:p>
      <w:pPr>
        <w:pStyle w:val="11"/>
        <w:spacing w:line="560" w:lineRule="atLeast"/>
        <w:ind w:firstLine="408"/>
        <w:rPr>
          <w:sz w:val="18"/>
          <w:szCs w:val="18"/>
        </w:rPr>
      </w:pPr>
      <w:r>
        <w:rPr>
          <w:rFonts w:hint="eastAsia"/>
          <w:sz w:val="18"/>
          <w:szCs w:val="18"/>
        </w:rPr>
        <w:t>三、报告期内在中国证监会指定网站上公开披露过的所有公司文件的正本及公告原稿。</w:t>
      </w:r>
    </w:p>
    <w:p>
      <w:pPr>
        <w:pStyle w:val="11"/>
        <w:spacing w:line="560" w:lineRule="atLeast"/>
        <w:ind w:firstLine="408"/>
        <w:rPr>
          <w:sz w:val="18"/>
          <w:szCs w:val="18"/>
        </w:rPr>
      </w:pPr>
      <w:r>
        <w:rPr>
          <w:rFonts w:hint="eastAsia"/>
          <w:sz w:val="18"/>
          <w:szCs w:val="18"/>
        </w:rPr>
        <w:t>以上备查文件的备置地点：公司证券部。</w:t>
      </w:r>
    </w:p>
    <w:p>
      <w:r>
        <w:br w:type="page"/>
      </w:r>
    </w:p>
    <w:p>
      <w:pPr>
        <w:spacing w:before="40" w:after="40" w:line="560" w:lineRule="exact"/>
        <w:jc w:val="center"/>
        <w:rPr>
          <w:rFonts w:ascii="宋体" w:hAnsi="宋体" w:eastAsia="宋体" w:cs="宋体"/>
          <w:b/>
          <w:bCs/>
          <w:sz w:val="32"/>
          <w:szCs w:val="32"/>
        </w:rPr>
      </w:pPr>
      <w:r>
        <w:rPr>
          <w:rFonts w:ascii="宋体" w:hAnsi="宋体" w:eastAsia="宋体" w:cs="宋体"/>
          <w:b/>
          <w:bCs/>
          <w:sz w:val="32"/>
          <w:szCs w:val="32"/>
        </w:rPr>
        <w:t>释义</w:t>
      </w:r>
    </w:p>
    <w:tbl>
      <w:tblPr>
        <w:tblStyle w:val="13"/>
        <w:tblW w:w="9656"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996"/>
        <w:gridCol w:w="885"/>
        <w:gridCol w:w="577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释义项</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释义内容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三川智慧/公司/本公司</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三川智慧科技股份有限公司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三川集团</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江西三川集团有限公司，系本公司的控股股东</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山东三川</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山东三川水表有限公司，系本公司控股子公司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三川金融</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上海三川金融信息服务有限公司，系本公司全资子公司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甬岭水表</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温岭甬岭水表有限公司，系本公司控股子公司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三川国德</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杭州三川国德物联网科技有限公司，系本公司控股子公司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江川水务</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鹰潭市余江区江川水务有限公司，系本公司控股子公司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景川水务</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鹰潭市景川水务有限公司，系本公司控股子公司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川水工程</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余江县川水工程安装有限公司，系江川水务子公司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鹰潭供水</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鹰潭市供水集团有限公司，系本公司的参股公司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三川实业</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鹰潭市三川实业发展有限公司，系本公司的参股公司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三川埃尔斯特</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江西三川埃尔斯特水表有限公司，系本公司的参股公司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兰银租赁</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甘肃兰银金融租赁股份有限公司，系本公司的参股公司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中稀天马</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中稀天马新材料科技股份有限公司，系本公司的参股公司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江西川仪</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江西川仪三川智慧水务科技有限公司，系本公司的参股公司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三川科技</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江西三川科技有限公司，系本公司全资子公司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三川水泵</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鹰潭三川水泵有限公司，系三川集团控股子公司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三合科技</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山西万家寨三合智慧科技有限公司，系本公司的参股公司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北京天川</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北京天川智联科技有限责任公司，系本公司的参股公司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广西三川</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广西三川智慧水务有限公司，系本公司控股子公司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上海储睿达</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上海储睿达智慧能源科技有限公司，系本公司的参股公司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水务研究院</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三川智慧水务研究院（杭州）有限公司，系本公司全资子公司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三川通达</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北京三川通达智慧科技有限公司，系本公司控股子公司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三川稀土</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赣州三川稀土有限责任公司，系本公司全资子公司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赣州川宇</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赣州川宇国际贸易有限公司，系本公司控股子公司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吾爱易达</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苏州吾爱易达物联网有限公司，系本公司的参股公司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天和永磁</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赣州天和永磁材料有限公司，系本公司控股子公司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赣州川益</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赣州川益科技有限公司，系本公司的参股公司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产品收率</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投入单位数量原料获得的实际生产的产品产量与理论计算的产品产量的比值。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钕铁硼</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一种磁铁，由钕、铁、硼形成的四方晶系晶体，因优异的磁性能而被称为“磁王”，其特性硬而脆。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钕铁硼废料</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在钕铁硼永磁材料生产加工过程中，产生大量的机械加工碎屑、边角料和油泥碎屑，另外还有在研磨、压制成型、焙烧的过程中残留的原料。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熔盐渣</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通过电解熔融方式，利用稀土氧化物制备稀土金属过程中产生的废渣。</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P507</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化学名称：2－乙基己基膦酸单2－乙基己基酯，无色或淡黄色透明油状液体，一种萃取剂。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智能水表</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一种利用现代微电子技术、现代传感技术、智能IC卡技术、无线通讯技术对用水量进行计量并进行用水数据传递及结算交易的新型水表</w:t>
            </w:r>
            <w:r>
              <w:rPr>
                <w:rFonts w:hint="eastAsia" w:ascii="宋体" w:hAnsi="宋体" w:eastAsia="宋体" w:cs="宋体"/>
                <w:sz w:val="18"/>
                <w:szCs w:val="18"/>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超声波水表</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利用超声波时差原理，采用工业级电子元器件制造而成的全电子水表。与机械式水表相比较具有精度高、可靠性好、量程比宽、使用寿命长、无任何机械运动部件、可任意角度安装等特点。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物联网水表</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用无线通讯技术和物联网专网，实现数据远传和远程控制的最新一代智能水表。物联网水表具有数据传输速度快、阶梯计价、远程操控、预付费、GPS定位、掉电关阀、异常预警等功能，适宜所有有无线通讯信号的区域内水表的智能化改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电磁水表</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一种根据法拉第电磁感应定律来测量管内水流量的感应式计量仪表，与传统机械计量水表比较，具有零磨损、低压损、宽量程、高灵敏度、易实现功能扩展等优点，可以优化供水用水和水贸易计量结算。</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NB-IoT</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基于蜂窝的窄带物联网（Narrow Band Internet of Things, NB-IoT），是万物互联网络的一个重要分支。NB-IoT是IoT领域一个新兴的技术，支持低功耗设备在广域网的蜂窝数据连接，也被叫作低功耗广域网(LPWA)。NB-IoT聚焦于低功耗广覆盖（LPWA）物联网（IoT）市场，是一种可在全球范围内广泛应用的新兴技术，具有覆盖广、连接多、速率低、成本低、功耗少、架构优等特点，可以广泛应用于多种垂直行业，如远程抄表、资产跟踪、智能停车、智慧农业、智慧水务等。</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阶梯水价</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对使用自来水实行分类计量收费和超定额累进加价制的俗称。"阶梯水价"充分发挥市场、价格因素在水资源配置、水需求调节等方面的作用，拓展了水价上调的空间，增强了企业和居民的节水意识，避免了水资源的浪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智慧水务</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智慧水务是指通过数采仪、无线网络、水质水压表等在线监测设备采集城镇供排水系统的相关数据，同时运用物联网、云计算、大数据、空间地理信息集成等新一代信息技术实时感知城镇水务系统的运行状态，通过数据分析对水务信息进行及时处理，提供辅助决策支持，形成融合智能感知、智能仿真、智能诊断、智能预警、智能调度、智能控制、智能处置和智能服务的全方位水务系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产销差</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自来水厂计量仪表和用户水表之间未收到水费的水量，亦称为"无收益水量"。产销差的产生和管道漏损、计量不准以及人为透漏水等因素有关，目前国际先进水平可以将产销差控制在8%左右，但国内一般水务公司产销差15--20%左右，差距非常明显。</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窄带物联网水表</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基于NB-IoT通讯技术的一款物联网水表。该款水表将NB-IoT技术应用于水表的数据采集、传输与控制等，可提升水表的数据传输的稳定性、可靠性，降低产品的通信成本，增强水表的数据采集智能终端功能。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多感知超声波水表</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基于5G通信技术，能实时感知水量、水质、水压、水温等多种参数的水表。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DMA分区计量管理</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即分区定量管理，是控制产销差的技术管理模式。这项技术把整个供水管网系统划分为若干个小区，以小区为单位，对各个区域分开进行管理，间接达到控制产销差，保证其持续稳定并达到国家标准。此套方案实际上是将营业管网的管理与水监测控制相结合，从而使供水企业的运营由粗放式管理逐步向营、管、控一体化的数字化精细管理过度。采用DMA分区计量管理，能够一定程度地减少水务公司的管网漏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水司管网地理信息（GIS）平台</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利用GIS空间数据管理技术，将用户关注的管网、附属设施设备等叠加到带有位置坐标属性的地图上，从而赋予了地理属性，地理属性结合管网本身的属性（管线的管径材质、设备的规格型号等）便可实现管网空间数据的统一管理，既能全面反映一个城市供水管网总貌，又能看清每个设备的详细信息，从而实现对供水管网最完整、最彻底的管控。同时可利用平台提供的各类空间分析工具，为科学的决策提供依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智慧水务管理系统</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"智慧水务管理系统"即水务行业信息化综合管理系统，涵盖了生产调度系统、DMA系统、GIS系统、集抄系统和营业收费系统等功能模块，具有数字供水、智能管控、实时监测和水务物联等功能。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报告期、上年同期</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2022年1-12月及2021年1-12月</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9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元、万元</w:t>
            </w:r>
          </w:p>
        </w:tc>
        <w:tc>
          <w:tcPr>
            <w:tcW w:w="8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指</w:t>
            </w:r>
          </w:p>
        </w:tc>
        <w:tc>
          <w:tcPr>
            <w:tcW w:w="577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人民币元、万元</w:t>
            </w:r>
          </w:p>
        </w:tc>
      </w:tr>
    </w:tbl>
    <w:p>
      <w:r>
        <w:br w:type="page"/>
      </w:r>
    </w:p>
    <w:p>
      <w:pPr>
        <w:pStyle w:val="20"/>
        <w:spacing w:before="340" w:after="330" w:line="773" w:lineRule="exact"/>
        <w:jc w:val="center"/>
        <w:rPr>
          <w:rFonts w:ascii="宋体" w:hAnsi="宋体" w:eastAsia="宋体" w:cs="宋体"/>
          <w:b/>
          <w:bCs/>
          <w:sz w:val="32"/>
          <w:szCs w:val="32"/>
        </w:rPr>
      </w:pPr>
      <w:bookmarkStart w:id="3" w:name="_Toc988890"/>
      <w:r>
        <w:rPr>
          <w:rFonts w:ascii="宋体" w:hAnsi="宋体" w:eastAsia="宋体" w:cs="宋体"/>
          <w:b/>
          <w:bCs/>
          <w:sz w:val="32"/>
          <w:szCs w:val="32"/>
        </w:rPr>
        <w:t>第二节 公司简介和主要财务指标</w:t>
      </w:r>
      <w:bookmarkEnd w:id="3"/>
    </w:p>
    <w:p>
      <w:pPr>
        <w:pStyle w:val="3"/>
        <w:spacing w:before="300" w:after="300" w:line="320" w:lineRule="exact"/>
        <w:rPr>
          <w:rFonts w:ascii="宋体" w:hAnsi="宋体" w:eastAsia="宋体" w:cs="宋体"/>
          <w:b/>
          <w:bCs/>
          <w:sz w:val="24"/>
          <w:szCs w:val="24"/>
        </w:rPr>
      </w:pPr>
      <w:bookmarkStart w:id="4" w:name="_Toc988891"/>
      <w:r>
        <w:rPr>
          <w:rFonts w:ascii="宋体" w:hAnsi="宋体" w:eastAsia="宋体" w:cs="宋体"/>
          <w:b/>
          <w:bCs/>
          <w:sz w:val="24"/>
          <w:szCs w:val="24"/>
        </w:rPr>
        <w:t>一、公司信息</w:t>
      </w:r>
      <w:bookmarkEnd w:id="4"/>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股票简称</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三川智慧</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股票代码</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300066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公司的中文名称</w:t>
            </w:r>
          </w:p>
        </w:tc>
        <w:tc>
          <w:tcPr>
            <w:tcW w:w="7229" w:type="dxa"/>
            <w:gridSpan w:val="3"/>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三川智慧科技股份有限公司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公司的中文简称</w:t>
            </w:r>
          </w:p>
        </w:tc>
        <w:tc>
          <w:tcPr>
            <w:tcW w:w="7229" w:type="dxa"/>
            <w:gridSpan w:val="3"/>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三川智慧</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公司的外文名称（如有）</w:t>
            </w:r>
          </w:p>
        </w:tc>
        <w:tc>
          <w:tcPr>
            <w:tcW w:w="7229" w:type="dxa"/>
            <w:gridSpan w:val="3"/>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Sanchuan Wisdom Technology Co.,Ltd.</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公司的外文名称缩写（如有）</w:t>
            </w:r>
          </w:p>
        </w:tc>
        <w:tc>
          <w:tcPr>
            <w:tcW w:w="7229" w:type="dxa"/>
            <w:gridSpan w:val="3"/>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Sanchuan Wisdom</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公司的法定代表人</w:t>
            </w:r>
          </w:p>
        </w:tc>
        <w:tc>
          <w:tcPr>
            <w:tcW w:w="7229" w:type="dxa"/>
            <w:gridSpan w:val="3"/>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李建林</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注册地址</w:t>
            </w:r>
          </w:p>
        </w:tc>
        <w:tc>
          <w:tcPr>
            <w:tcW w:w="7229" w:type="dxa"/>
            <w:gridSpan w:val="3"/>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江西省鹰潭高新区龙岗片区三川水工产业园</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注册地址的邮政编码</w:t>
            </w:r>
          </w:p>
        </w:tc>
        <w:tc>
          <w:tcPr>
            <w:tcW w:w="7229" w:type="dxa"/>
            <w:gridSpan w:val="3"/>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335200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公司注册地址历史变更情况</w:t>
            </w:r>
          </w:p>
        </w:tc>
        <w:tc>
          <w:tcPr>
            <w:tcW w:w="7229" w:type="dxa"/>
            <w:gridSpan w:val="3"/>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2014年9月30日，注册地址由江西省鹰潭市国家高新技术产业开发区变更为江西省鹰潭高新区龙岗片区三川水工产业园</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办公地址</w:t>
            </w:r>
          </w:p>
        </w:tc>
        <w:tc>
          <w:tcPr>
            <w:tcW w:w="7229" w:type="dxa"/>
            <w:gridSpan w:val="3"/>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江西省鹰潭高新区龙岗片区三川水工产业园</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办公地址的邮政编码</w:t>
            </w:r>
          </w:p>
        </w:tc>
        <w:tc>
          <w:tcPr>
            <w:tcW w:w="7229" w:type="dxa"/>
            <w:gridSpan w:val="3"/>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335200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公司国际互联网网址</w:t>
            </w:r>
          </w:p>
        </w:tc>
        <w:tc>
          <w:tcPr>
            <w:tcW w:w="7229" w:type="dxa"/>
            <w:gridSpan w:val="3"/>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http://www.ytsanchuan.com</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电子信箱</w:t>
            </w:r>
          </w:p>
        </w:tc>
        <w:tc>
          <w:tcPr>
            <w:tcW w:w="7229" w:type="dxa"/>
            <w:gridSpan w:val="3"/>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webmaster@ytsanchuan.com</w:t>
            </w:r>
          </w:p>
        </w:tc>
      </w:tr>
    </w:tbl>
    <w:p>
      <w:pPr>
        <w:pStyle w:val="3"/>
        <w:spacing w:before="300" w:after="300" w:line="320" w:lineRule="exact"/>
        <w:rPr>
          <w:rFonts w:ascii="宋体" w:hAnsi="宋体" w:eastAsia="宋体" w:cs="宋体"/>
          <w:b/>
          <w:bCs/>
          <w:sz w:val="24"/>
          <w:szCs w:val="24"/>
        </w:rPr>
      </w:pPr>
      <w:bookmarkStart w:id="5" w:name="_Toc988892"/>
      <w:r>
        <w:rPr>
          <w:rFonts w:ascii="宋体" w:hAnsi="宋体" w:eastAsia="宋体" w:cs="宋体"/>
          <w:b/>
          <w:bCs/>
          <w:sz w:val="24"/>
          <w:szCs w:val="24"/>
        </w:rPr>
        <w:t>二、联系人和联系方式</w:t>
      </w:r>
      <w:bookmarkEnd w:id="5"/>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董事会秘书</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证券事务代表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姓名</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倪国强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联系地址</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江西省鹰潭高新区龙岗片区三川水工产业园</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江西省鹰潭高新区龙岗片区三川水工产业园</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电话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0701-6318013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0701-6318005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传真</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0701-6318013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0701-6318013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电子信箱</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ytngq@aliyun.com</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ytngq@aliyun.com</w:t>
            </w:r>
          </w:p>
        </w:tc>
      </w:tr>
    </w:tbl>
    <w:p>
      <w:pPr>
        <w:pStyle w:val="3"/>
        <w:spacing w:before="300" w:after="300" w:line="320" w:lineRule="exact"/>
        <w:rPr>
          <w:rFonts w:ascii="宋体" w:hAnsi="宋体" w:eastAsia="宋体" w:cs="宋体"/>
          <w:b/>
          <w:bCs/>
          <w:sz w:val="24"/>
          <w:szCs w:val="24"/>
        </w:rPr>
      </w:pPr>
      <w:bookmarkStart w:id="6" w:name="_Toc988893"/>
      <w:r>
        <w:rPr>
          <w:rFonts w:ascii="宋体" w:hAnsi="宋体" w:eastAsia="宋体" w:cs="宋体"/>
          <w:b/>
          <w:bCs/>
          <w:sz w:val="24"/>
          <w:szCs w:val="24"/>
        </w:rPr>
        <w:t>三、信息披露及备置地点</w:t>
      </w:r>
      <w:bookmarkEnd w:id="6"/>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公司披露年度报告的证券交易所网站</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http://www.szse.cn</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公司披露年度报告的媒体名称及网址</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《中国证券报》《证券时报》及巨潮资讯网(http://www.cninfo.com.cn)</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公司年度报告备置地点</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公司证券部</w:t>
            </w:r>
          </w:p>
        </w:tc>
      </w:tr>
    </w:tbl>
    <w:p>
      <w:pPr>
        <w:pStyle w:val="3"/>
        <w:spacing w:before="300" w:after="300" w:line="320" w:lineRule="exact"/>
        <w:rPr>
          <w:rFonts w:ascii="宋体" w:hAnsi="宋体" w:eastAsia="宋体" w:cs="宋体"/>
          <w:b/>
          <w:bCs/>
          <w:sz w:val="24"/>
          <w:szCs w:val="24"/>
        </w:rPr>
      </w:pPr>
      <w:bookmarkStart w:id="7" w:name="_Toc988894"/>
      <w:r>
        <w:rPr>
          <w:rFonts w:ascii="宋体" w:hAnsi="宋体" w:eastAsia="宋体" w:cs="宋体"/>
          <w:b/>
          <w:bCs/>
          <w:sz w:val="24"/>
          <w:szCs w:val="24"/>
        </w:rPr>
        <w:t>四、其他有关资料</w:t>
      </w:r>
      <w:bookmarkEnd w:id="7"/>
    </w:p>
    <w:p>
      <w:pPr>
        <w:spacing w:before="40" w:after="40" w:line="240" w:lineRule="exact"/>
        <w:rPr>
          <w:rFonts w:ascii="宋体" w:hAnsi="宋体" w:eastAsia="宋体" w:cs="宋体"/>
          <w:sz w:val="18"/>
          <w:szCs w:val="18"/>
        </w:rPr>
      </w:pPr>
      <w:r>
        <w:rPr>
          <w:rFonts w:ascii="宋体" w:hAnsi="宋体" w:eastAsia="宋体" w:cs="宋体"/>
          <w:sz w:val="18"/>
          <w:szCs w:val="18"/>
        </w:rPr>
        <w:t>公司聘请的会计师事务所</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会计师事务所名称</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北京兴华会计师事务所（特殊普通合伙）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会计师事务所办公地址</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北京市西城区裕民路18号北环中心22层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签字会计师姓名</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谭哲  郭成</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公司聘请的报告期内履行持续督导职责的保荐机构</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公司聘请的报告期内履行持续督导职责的财务顾问</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8" w:name="_Toc988895"/>
      <w:r>
        <w:rPr>
          <w:rFonts w:ascii="宋体" w:hAnsi="宋体" w:eastAsia="宋体" w:cs="宋体"/>
          <w:b/>
          <w:bCs/>
          <w:sz w:val="24"/>
          <w:szCs w:val="24"/>
        </w:rPr>
        <w:t>五、主要会计数据和财务指标</w:t>
      </w:r>
      <w:bookmarkEnd w:id="8"/>
    </w:p>
    <w:p>
      <w:pPr>
        <w:spacing w:before="100" w:after="100" w:line="240" w:lineRule="exact"/>
        <w:rPr>
          <w:rFonts w:ascii="宋体" w:hAnsi="宋体" w:eastAsia="宋体" w:cs="宋体"/>
          <w:sz w:val="18"/>
          <w:szCs w:val="18"/>
        </w:rPr>
      </w:pPr>
      <w:r>
        <w:rPr>
          <w:rFonts w:ascii="宋体" w:hAnsi="宋体" w:eastAsia="宋体" w:cs="宋体"/>
          <w:sz w:val="18"/>
          <w:szCs w:val="18"/>
        </w:rPr>
        <w:t>公司是否需追溯调整或重述以前年度会计数据</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□是 </w:t>
      </w:r>
      <w:r>
        <w:rPr>
          <w:szCs w:val="24"/>
        </w:rPr>
        <w:t xml:space="preserve">√ </w:t>
      </w:r>
      <w:r>
        <w:rPr>
          <w:rFonts w:ascii="宋体" w:hAnsi="宋体" w:eastAsia="宋体" w:cs="宋体"/>
          <w:sz w:val="18"/>
          <w:szCs w:val="18"/>
        </w:rPr>
        <w:t>否</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552"/>
        <w:gridCol w:w="1843"/>
        <w:gridCol w:w="1701"/>
        <w:gridCol w:w="1842"/>
        <w:gridCol w:w="170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8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2021年</w:t>
            </w:r>
          </w:p>
        </w:tc>
        <w:tc>
          <w:tcPr>
            <w:tcW w:w="184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本年比上年增减</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2020年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营业收入（元）</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1,331,679,724.58</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936,939,518.55</w:t>
            </w: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42.13%</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959,947,244.22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归属于上市公司股东的净利润（元）</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213,914,714.40</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189,301,310.10</w:t>
            </w: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13.00%</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214,711,843.81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归属于上市公司股东的扣除非经常性损益的净利润（元）</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191,443,761.22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173,227,423.64</w:t>
            </w: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10.52%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195,432,255.39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经营活动产生的现金流量净额（元）</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10,795,925.31</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83,874,239.21</w:t>
            </w: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-87.13%</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58,369,673.62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基本每股收益（元/股）</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0.2057</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0.1820</w:t>
            </w: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13.02%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0.2064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稀释每股收益（元/股）</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0.2057</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0.1820</w:t>
            </w: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13.02%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0.2064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加权平均净资产收益率</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10.05%</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9.53%</w:t>
            </w: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0.52%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11.60%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8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2022年末</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2021年末</w:t>
            </w:r>
          </w:p>
        </w:tc>
        <w:tc>
          <w:tcPr>
            <w:tcW w:w="184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本年末比上年末增减</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2020年末</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资产总额（元）</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3,003,632,103.87</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2,464,659,512.52</w:t>
            </w: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21.87%</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2,385,086,219.36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归属于上市公司股东的净资产（元）</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2,241,810,021.02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2,047,957,414.50</w:t>
            </w: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9.47%</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1,944,643,346.81</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公司最近三个会计年度扣除非经常性损益前后净利润孰低者均为负值，且最近一年审计报告显示公司持续经营能力存在不确定性</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□是 </w:t>
      </w:r>
      <w:r>
        <w:rPr>
          <w:szCs w:val="24"/>
        </w:rPr>
        <w:t xml:space="preserve">√ </w:t>
      </w:r>
      <w:r>
        <w:rPr>
          <w:rFonts w:ascii="宋体" w:hAnsi="宋体" w:eastAsia="宋体" w:cs="宋体"/>
          <w:sz w:val="18"/>
          <w:szCs w:val="18"/>
        </w:rPr>
        <w:t>否</w:t>
      </w:r>
    </w:p>
    <w:p>
      <w:pPr>
        <w:spacing w:before="100" w:after="100" w:line="240" w:lineRule="exact"/>
        <w:rPr>
          <w:rFonts w:ascii="宋体" w:hAnsi="宋体" w:eastAsia="宋体" w:cs="宋体"/>
          <w:sz w:val="18"/>
          <w:szCs w:val="18"/>
        </w:rPr>
      </w:pPr>
      <w:r>
        <w:rPr>
          <w:rFonts w:ascii="宋体" w:hAnsi="宋体" w:eastAsia="宋体" w:cs="宋体"/>
          <w:sz w:val="18"/>
          <w:szCs w:val="18"/>
        </w:rPr>
        <w:t>扣除非经常损益前后的净利润孰低者为负值</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□是 </w:t>
      </w:r>
      <w:r>
        <w:rPr>
          <w:szCs w:val="24"/>
        </w:rPr>
        <w:t xml:space="preserve">√ </w:t>
      </w:r>
      <w:r>
        <w:rPr>
          <w:rFonts w:ascii="宋体" w:hAnsi="宋体" w:eastAsia="宋体" w:cs="宋体"/>
          <w:sz w:val="18"/>
          <w:szCs w:val="18"/>
        </w:rPr>
        <w:t>否</w:t>
      </w:r>
    </w:p>
    <w:p>
      <w:pPr>
        <w:pStyle w:val="3"/>
        <w:spacing w:before="300" w:after="300" w:line="320" w:lineRule="exact"/>
        <w:rPr>
          <w:rFonts w:ascii="宋体" w:hAnsi="宋体" w:eastAsia="宋体" w:cs="宋体"/>
          <w:b/>
          <w:bCs/>
          <w:sz w:val="24"/>
          <w:szCs w:val="24"/>
        </w:rPr>
      </w:pPr>
      <w:bookmarkStart w:id="9" w:name="_Toc988896"/>
      <w:r>
        <w:rPr>
          <w:rFonts w:ascii="宋体" w:hAnsi="宋体" w:eastAsia="宋体" w:cs="宋体"/>
          <w:b/>
          <w:bCs/>
          <w:sz w:val="24"/>
          <w:szCs w:val="24"/>
        </w:rPr>
        <w:t>六、分季度主要财务指标</w:t>
      </w:r>
      <w:bookmarkEnd w:id="9"/>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694"/>
        <w:gridCol w:w="1701"/>
        <w:gridCol w:w="1701"/>
        <w:gridCol w:w="1615"/>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第一季度</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第二季度</w:t>
            </w:r>
          </w:p>
        </w:tc>
        <w:tc>
          <w:tcPr>
            <w:tcW w:w="161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第三季度</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第四季度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26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营业收入</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157,505,906.34</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223,985,985.13</w:t>
            </w:r>
          </w:p>
        </w:tc>
        <w:tc>
          <w:tcPr>
            <w:tcW w:w="1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364,203,584.81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585,984,248.30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归属于上市公司股东的净利润</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34,036,198.48</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44,374,331.00</w:t>
            </w:r>
          </w:p>
        </w:tc>
        <w:tc>
          <w:tcPr>
            <w:tcW w:w="1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44,996,259.07</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90,507,925.85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归属于上市公司股东的扣除非经常性损益的净利润</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30,246,299.91</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40,031,956.61</w:t>
            </w:r>
          </w:p>
        </w:tc>
        <w:tc>
          <w:tcPr>
            <w:tcW w:w="1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38,117,697.40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83,047,807.30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经营活动产生的现金流量净额</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-45,058,376.66</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-16,150,234.80</w:t>
            </w:r>
          </w:p>
        </w:tc>
        <w:tc>
          <w:tcPr>
            <w:tcW w:w="1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23,683,865.25</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48,320,671.52</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上述财务指标或其加总数是否与公司已披露季度报告、半年度报告相关财务指标存在重大差异</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□是 </w:t>
      </w:r>
      <w:r>
        <w:rPr>
          <w:szCs w:val="24"/>
        </w:rPr>
        <w:t xml:space="preserve">√ </w:t>
      </w:r>
      <w:r>
        <w:rPr>
          <w:rFonts w:ascii="宋体" w:hAnsi="宋体" w:eastAsia="宋体" w:cs="宋体"/>
          <w:sz w:val="18"/>
          <w:szCs w:val="18"/>
        </w:rPr>
        <w:t>否</w:t>
      </w:r>
    </w:p>
    <w:p>
      <w:pPr>
        <w:pStyle w:val="3"/>
        <w:spacing w:before="300" w:after="300" w:line="320" w:lineRule="exact"/>
        <w:rPr>
          <w:rFonts w:ascii="宋体" w:hAnsi="宋体" w:eastAsia="宋体" w:cs="宋体"/>
          <w:b/>
          <w:bCs/>
          <w:sz w:val="24"/>
          <w:szCs w:val="24"/>
        </w:rPr>
      </w:pPr>
      <w:bookmarkStart w:id="10" w:name="_Toc988897"/>
      <w:r>
        <w:rPr>
          <w:rFonts w:ascii="宋体" w:hAnsi="宋体" w:eastAsia="宋体" w:cs="宋体"/>
          <w:b/>
          <w:bCs/>
          <w:sz w:val="24"/>
          <w:szCs w:val="24"/>
        </w:rPr>
        <w:t>七、境内外会计准则下会计数据差异</w:t>
      </w:r>
      <w:bookmarkEnd w:id="10"/>
    </w:p>
    <w:p>
      <w:pPr>
        <w:pStyle w:val="4"/>
        <w:spacing w:line="280" w:lineRule="exact"/>
        <w:jc w:val="left"/>
        <w:rPr>
          <w:rFonts w:ascii="宋体" w:hAnsi="宋体" w:cs="宋体"/>
          <w:b/>
          <w:bCs/>
        </w:rPr>
      </w:pPr>
      <w:bookmarkStart w:id="11" w:name="_Toc988898"/>
      <w:r>
        <w:rPr>
          <w:rFonts w:ascii="宋体" w:hAnsi="宋体" w:cs="宋体"/>
          <w:b/>
          <w:bCs/>
        </w:rPr>
        <w:t>1、同时按照国际会计准则与按照中国会计准则披露的财务报告中净利润和净资产差异情况</w:t>
      </w:r>
      <w:bookmarkEnd w:id="11"/>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公司报告期不存在按照国际会计准则与按照中国会计准则披露的财务报告中净利润和净资产差异情况。</w:t>
      </w:r>
    </w:p>
    <w:p>
      <w:pPr>
        <w:pStyle w:val="4"/>
        <w:spacing w:line="280" w:lineRule="exact"/>
        <w:jc w:val="left"/>
        <w:rPr>
          <w:rFonts w:ascii="宋体" w:hAnsi="宋体" w:cs="宋体"/>
          <w:b/>
          <w:bCs/>
        </w:rPr>
      </w:pPr>
      <w:bookmarkStart w:id="12" w:name="_Toc988899"/>
      <w:r>
        <w:rPr>
          <w:rFonts w:ascii="宋体" w:hAnsi="宋体" w:cs="宋体"/>
          <w:b/>
          <w:bCs/>
        </w:rPr>
        <w:t>2、同时按照境外会计准则与按照中国会计准则披露的财务报告中净利润和净资产差异情况</w:t>
      </w:r>
      <w:bookmarkEnd w:id="12"/>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公司报告期不存在按照境外会计准则与按照中国会计准则披露的财务报告中净利润和净资产差异情况。</w:t>
      </w:r>
    </w:p>
    <w:p>
      <w:pPr>
        <w:pStyle w:val="3"/>
        <w:spacing w:before="300" w:after="300" w:line="320" w:lineRule="exact"/>
        <w:rPr>
          <w:rFonts w:ascii="宋体" w:hAnsi="宋体" w:eastAsia="宋体" w:cs="宋体"/>
          <w:b/>
          <w:bCs/>
          <w:sz w:val="24"/>
          <w:szCs w:val="24"/>
        </w:rPr>
      </w:pPr>
      <w:bookmarkStart w:id="13" w:name="_Toc988900"/>
      <w:r>
        <w:rPr>
          <w:rFonts w:ascii="宋体" w:hAnsi="宋体" w:eastAsia="宋体" w:cs="宋体"/>
          <w:b/>
          <w:bCs/>
          <w:sz w:val="24"/>
          <w:szCs w:val="24"/>
        </w:rPr>
        <w:t>八、非经常性损益项目及金额</w:t>
      </w:r>
      <w:bookmarkEnd w:id="13"/>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686"/>
        <w:gridCol w:w="1559"/>
        <w:gridCol w:w="1701"/>
        <w:gridCol w:w="1701"/>
        <w:gridCol w:w="99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68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55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2022年金额</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2021年金额</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2020年金额</w:t>
            </w:r>
          </w:p>
        </w:tc>
        <w:tc>
          <w:tcPr>
            <w:tcW w:w="99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68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非流动资产处置损益（包括已计提资产减值准备的冲销部分）</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5,942,808.44</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-525,091.59</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-277,090.37</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68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计入当期损益的政府补助（与公司正常经营业务密切相关，符合国家政策规定、按照一定标准定额或定量持续享受的政府补助除外）</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12,911,373.52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4,922,544.96</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7,167,006.31</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68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债务重组损益</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-1,050,000.00</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68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同一控制下企业合并产生的子公司期初至合并日的当期净损益</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-966,091.57</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68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10,252,600.26</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16,720,672.42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18,831,354.46</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68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单独进行减值测试的应收款项减值准备转回</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222,777.13</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614,293.16</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68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除上述各项之外的其他营业外收入和支出</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29,453.87</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290,179.39</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-3,469,310.08</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68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其他符合非经常性损益定义的损益项目</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115,739.82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282,451.50</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85,635.62</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68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减：所得税影响额</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3,885,781.44</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2,438,038.73</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3,266,075.79</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68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少数股东权益影响额（税后）</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1,845,241.29</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2,435,517.05</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406,224.89</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68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22,470,953.18</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16,073,886.46</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19,279,588.42</w:t>
            </w:r>
          </w:p>
        </w:tc>
        <w:tc>
          <w:tcPr>
            <w:tcW w:w="99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shd w:val="clear" w:color="auto" w:fill="D3D3D3"/>
              </w:rPr>
            </w:pPr>
            <w:r>
              <w:rPr>
                <w:rFonts w:ascii="宋体" w:hAnsi="宋体" w:eastAsia="宋体" w:cs="宋体"/>
                <w:sz w:val="18"/>
                <w:szCs w:val="18"/>
                <w:shd w:val="clear" w:color="auto" w:fill="D3D3D3"/>
              </w:rPr>
              <w:t>--</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其他符合非经常性损益定义的损益项目的具体情况：</w:t>
      </w:r>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spacing w:before="100" w:after="100" w:line="240" w:lineRule="exact"/>
        <w:rPr>
          <w:rFonts w:ascii="宋体" w:hAnsi="宋体" w:eastAsia="宋体" w:cs="宋体"/>
          <w:sz w:val="18"/>
          <w:szCs w:val="18"/>
        </w:rPr>
      </w:pPr>
      <w:r>
        <w:rPr>
          <w:rFonts w:hint="eastAsia" w:ascii="宋体" w:hAnsi="宋体" w:eastAsia="宋体" w:cs="宋体"/>
          <w:sz w:val="18"/>
          <w:szCs w:val="18"/>
        </w:rPr>
        <w:t>公司本期其他符合非经常性损益定义的损益项目是代扣代缴个人所得税的手续费</w:t>
      </w:r>
    </w:p>
    <w:p>
      <w:pPr>
        <w:spacing w:before="100" w:after="100" w:line="240" w:lineRule="exact"/>
        <w:rPr>
          <w:rFonts w:ascii="宋体" w:hAnsi="宋体" w:eastAsia="宋体" w:cs="宋体"/>
          <w:sz w:val="18"/>
          <w:szCs w:val="18"/>
        </w:rPr>
      </w:pPr>
      <w:r>
        <w:rPr>
          <w:rFonts w:ascii="宋体" w:hAnsi="宋体" w:eastAsia="宋体" w:cs="宋体"/>
          <w:sz w:val="18"/>
          <w:szCs w:val="18"/>
        </w:rPr>
        <w:t>将《公开发行证券的公司信息披露解释性公告第1号——非经常性损益》中列举的非经常性损益项目界定为经常性损益项目的情况说明</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公司不存在将《公开发行证券的公司信息披露解释性公告第1号——非经常性损益》中列举的非经常性损益项目界定为经常性损益的项目的情形。</w:t>
      </w:r>
    </w:p>
    <w:p>
      <w:r>
        <w:br w:type="page"/>
      </w:r>
    </w:p>
    <w:p>
      <w:pPr>
        <w:pStyle w:val="20"/>
        <w:spacing w:before="340" w:after="330" w:line="773" w:lineRule="exact"/>
        <w:jc w:val="center"/>
        <w:rPr>
          <w:rFonts w:ascii="宋体" w:hAnsi="宋体" w:eastAsia="宋体" w:cs="宋体"/>
          <w:b/>
          <w:bCs/>
          <w:sz w:val="32"/>
          <w:szCs w:val="32"/>
        </w:rPr>
      </w:pPr>
      <w:bookmarkStart w:id="14" w:name="_Toc988901"/>
      <w:r>
        <w:rPr>
          <w:rFonts w:ascii="宋体" w:hAnsi="宋体" w:eastAsia="宋体" w:cs="宋体"/>
          <w:b/>
          <w:bCs/>
          <w:sz w:val="32"/>
          <w:szCs w:val="32"/>
        </w:rPr>
        <w:t>第三节 管理层讨论与分析</w:t>
      </w:r>
      <w:bookmarkEnd w:id="14"/>
    </w:p>
    <w:p>
      <w:pPr>
        <w:pStyle w:val="3"/>
        <w:spacing w:before="300" w:after="300" w:line="320" w:lineRule="exact"/>
        <w:rPr>
          <w:rFonts w:ascii="宋体" w:hAnsi="宋体" w:eastAsia="宋体" w:cs="宋体"/>
          <w:b/>
          <w:bCs/>
          <w:sz w:val="24"/>
          <w:szCs w:val="24"/>
        </w:rPr>
      </w:pPr>
      <w:bookmarkStart w:id="15" w:name="_Toc988902"/>
      <w:r>
        <w:rPr>
          <w:rFonts w:ascii="宋体" w:hAnsi="宋体" w:eastAsia="宋体" w:cs="宋体"/>
          <w:b/>
          <w:bCs/>
          <w:sz w:val="24"/>
          <w:szCs w:val="24"/>
        </w:rPr>
        <w:t>一、报告期内公司所处行业情况</w:t>
      </w:r>
      <w:bookmarkEnd w:id="15"/>
    </w:p>
    <w:p>
      <w:pPr>
        <w:spacing w:before="40" w:after="40"/>
        <w:ind w:firstLine="360" w:firstLineChars="200"/>
        <w:rPr>
          <w:rFonts w:ascii="宋体" w:hAnsi="宋体" w:eastAsia="宋体"/>
        </w:rPr>
      </w:pPr>
      <w:r>
        <w:rPr>
          <w:rFonts w:ascii="宋体" w:hAnsi="宋体" w:eastAsia="宋体"/>
          <w:sz w:val="18"/>
        </w:rPr>
        <w:t>公司自成立以来，以科学用水、健康饮水为使命，主营业务涉及水计量、水运营、健康水生活、智慧水务数据云平台建设与大数据增值服务等，与智慧城市建设和城乡居民生活息息相关。报告期内，公司响应国家推动稀土资源节约和综合再利用的发展规划，积极布局稀土资源回收利用行业，利用钕铁硼废料和熔盐渣生产高纯度稀土氧化物，打造公司的重要产业板块和业务增长极。</w:t>
      </w:r>
    </w:p>
    <w:p>
      <w:pPr>
        <w:spacing w:before="40" w:after="40"/>
        <w:ind w:firstLine="360"/>
        <w:rPr>
          <w:rFonts w:ascii="宋体" w:hAnsi="宋体" w:eastAsia="宋体"/>
          <w:b/>
          <w:sz w:val="24"/>
        </w:rPr>
      </w:pPr>
    </w:p>
    <w:p>
      <w:pPr>
        <w:spacing w:before="40" w:after="40"/>
        <w:ind w:firstLine="360"/>
        <w:rPr>
          <w:rFonts w:ascii="宋体" w:hAnsi="宋体" w:eastAsia="宋体"/>
        </w:rPr>
      </w:pPr>
      <w:r>
        <w:rPr>
          <w:rFonts w:ascii="宋体" w:hAnsi="宋体" w:eastAsia="宋体"/>
          <w:b/>
          <w:sz w:val="24"/>
        </w:rPr>
        <w:t>1</w:t>
      </w:r>
      <w:r>
        <w:rPr>
          <w:rFonts w:hint="eastAsia" w:ascii="宋体" w:hAnsi="宋体" w:eastAsia="宋体"/>
          <w:b/>
          <w:sz w:val="24"/>
        </w:rPr>
        <w:t>、</w:t>
      </w:r>
      <w:r>
        <w:rPr>
          <w:rFonts w:ascii="宋体" w:hAnsi="宋体" w:eastAsia="宋体"/>
          <w:b/>
          <w:sz w:val="24"/>
        </w:rPr>
        <w:t>智慧水务行业</w:t>
      </w:r>
    </w:p>
    <w:p>
      <w:pPr>
        <w:spacing w:before="40" w:after="40"/>
        <w:ind w:firstLine="361"/>
        <w:rPr>
          <w:rFonts w:ascii="宋体" w:hAnsi="宋体" w:eastAsia="宋体"/>
          <w:b/>
          <w:sz w:val="18"/>
        </w:rPr>
      </w:pPr>
    </w:p>
    <w:p>
      <w:pPr>
        <w:spacing w:before="40" w:after="40"/>
        <w:ind w:firstLine="361"/>
        <w:rPr>
          <w:rFonts w:ascii="宋体" w:hAnsi="宋体" w:eastAsia="宋体"/>
        </w:rPr>
      </w:pPr>
      <w:r>
        <w:rPr>
          <w:rFonts w:ascii="宋体" w:hAnsi="宋体" w:eastAsia="宋体"/>
          <w:b/>
          <w:sz w:val="18"/>
        </w:rPr>
        <w:t>（一）行业基本情况</w:t>
      </w:r>
    </w:p>
    <w:p>
      <w:pPr>
        <w:spacing w:before="40" w:after="40"/>
        <w:ind w:firstLine="360" w:firstLineChars="200"/>
        <w:rPr>
          <w:rFonts w:ascii="宋体" w:hAnsi="宋体" w:eastAsia="宋体"/>
          <w:sz w:val="18"/>
        </w:rPr>
      </w:pPr>
      <w:r>
        <w:rPr>
          <w:rFonts w:ascii="宋体" w:hAnsi="宋体" w:eastAsia="宋体"/>
          <w:sz w:val="18"/>
        </w:rPr>
        <w:t>智慧水务是指通过数采仪、无线网络、水质水压表等在线监测设备采集城镇供排水系统的相关数据，同时运用物联网、云计算、大数据、空间地理信息集成等新一代信息技术，实时感知城镇水务系统的运行状态，通过数据分析对水务信息进行及时处理，提供辅助决策支持，形成融合智能感知、智能仿真、智能诊断、智能预警、智能调度、智能控制、智能处置和智能服务的全方位水务系统。智慧水务涵盖原水、供水、节水、排水、污水处理及水资源回收利用的完整产业链，基于统一融合和互联互通的智慧化信息平台，保障“从源头到龙头”的生产、监控、调度、营收、客服、运营、运维等各个环节实时安全可控，全面提升水务管理的效率和效能，优化服务品质，赋能水务公司完成新业务、新模式、新业态的转变与创新。</w:t>
      </w:r>
    </w:p>
    <w:p>
      <w:pPr>
        <w:spacing w:before="40" w:after="40"/>
        <w:ind w:firstLine="360" w:firstLineChars="200"/>
        <w:rPr>
          <w:rFonts w:ascii="宋体" w:hAnsi="宋体" w:eastAsia="宋体"/>
        </w:rPr>
      </w:pPr>
      <w:r>
        <w:rPr>
          <w:rFonts w:ascii="宋体" w:hAnsi="宋体" w:eastAsia="宋体"/>
          <w:sz w:val="18"/>
        </w:rPr>
        <w:t>我国水务行业的发展主要可分为以下四个阶段：机械水表和供水设备→智能水表和供水设备→水务信息化→智慧水务。机械水表和供水设备的测量传感器和指示装置均为机械原理和结构，需人工采集、记录相关数据，随着人力成本的提升和水务智慧化管理的需要，将逐步被智能水表和供水设备所替代。智能水表和供水设备作为“水务物联网”的基础载体和传感器，是水务系统智能化改造的第一步，通过物联网与现有互联网的整合，实现政府管理机构、水务公司与水务系统的融合，后续整个水务系统智慧化都要依赖作为传感器的智能水表和供水设备。水务信息化主要通过设备、软件、网络的互联互通，构建一个可以集成各业务系统数据的综合管理平台，将来自不同系统的海量数据进行存储、挖掘、分析，产生不同的功能模块，消除烟囱式系统和数据孤岛。智慧水务主要包括业务系统的信息化集成与智慧化应用的建设，包括物联网建设、系统集成与数据分析在内的系统融合等，通过生产系统、管网输送系统、服务营销系统和管理系统的互联互通，实现水务企业所有相关信息（水厂数据、管网数据、用户信息等）在网络上的共享，最终达到全局协同、智能决策、泛在感知、动态优化、敏捷响应的状态。</w:t>
      </w:r>
    </w:p>
    <w:p>
      <w:pPr>
        <w:spacing w:before="40" w:after="40"/>
        <w:ind w:firstLine="360" w:firstLineChars="200"/>
        <w:rPr>
          <w:rFonts w:ascii="宋体" w:hAnsi="宋体" w:eastAsia="宋体"/>
        </w:rPr>
      </w:pPr>
      <w:r>
        <w:rPr>
          <w:rFonts w:ascii="宋体" w:hAnsi="宋体" w:eastAsia="宋体"/>
          <w:sz w:val="18"/>
        </w:rPr>
        <w:t>目前我国智慧水务行业发展尚处于初期，不同地域、城市水司处于不同发展阶段，行业整体保持稳定增长态势，头部企业集中度非常低，由大型水务企业领先建设智慧水务，带动全行业往智慧化的发展应是行业趋势。对于水司而言，一旦实现了各供应商的设备、软件、网络的互联互通，不仅可以消除烟囱式系统和数据孤岛，而且能够进一步拓展基于数据共享和数据挖掘的智慧应用，提升运行效率，降低供水漏损和能耗，提高服务水平。</w:t>
      </w:r>
    </w:p>
    <w:p>
      <w:pPr>
        <w:spacing w:before="40" w:after="40"/>
        <w:ind w:firstLine="361"/>
        <w:rPr>
          <w:rFonts w:ascii="宋体" w:hAnsi="宋体" w:eastAsia="宋体"/>
          <w:b/>
          <w:sz w:val="18"/>
        </w:rPr>
      </w:pPr>
    </w:p>
    <w:p>
      <w:pPr>
        <w:spacing w:before="40" w:after="40"/>
        <w:ind w:firstLine="361"/>
        <w:rPr>
          <w:rFonts w:ascii="宋体" w:hAnsi="宋体" w:eastAsia="宋体"/>
        </w:rPr>
      </w:pPr>
      <w:r>
        <w:rPr>
          <w:rFonts w:ascii="宋体" w:hAnsi="宋体" w:eastAsia="宋体"/>
          <w:b/>
          <w:sz w:val="18"/>
        </w:rPr>
        <w:t>（二）行业发展趋势</w:t>
      </w:r>
    </w:p>
    <w:p>
      <w:pPr>
        <w:spacing w:before="40" w:after="40"/>
        <w:ind w:firstLine="363"/>
        <w:rPr>
          <w:rFonts w:ascii="宋体" w:hAnsi="宋体" w:eastAsia="宋体"/>
        </w:rPr>
      </w:pPr>
      <w:r>
        <w:rPr>
          <w:rFonts w:ascii="宋体" w:hAnsi="宋体" w:eastAsia="宋体"/>
          <w:sz w:val="18"/>
        </w:rPr>
        <w:t>从硬件发展角度而言，智能水表将逐步迈向多感知时代，除包含现有智能水表的基本功能外，还可进行管网综合水参数的测量（例如水压、水质、漏渗、水温等参数），向供水企业提供在线一体化的高性价比管网综合大数据感知装置，为智慧供水新业务及水务信息化云平台提供海量数据支撑，有助于供水企业全面、准确地开展管网压力与水量调控、管网末梢在线水质监测与预警、节能降耗等亟需的新业务。同时，随着智慧水务的发展，水表稳定性和可靠性的要求将进一步提高，因此防水、防潮、防尘、电池的使用寿命都应有充分的设计冗余。智慧水务在催生供水系统的信息化，带来硬件产品升级的同时，与智慧供水系统所对应的智慧水厂设备、二次供水设备等需求也应运而生。</w:t>
      </w:r>
    </w:p>
    <w:p>
      <w:pPr>
        <w:spacing w:before="40" w:after="40"/>
        <w:ind w:firstLine="363"/>
        <w:rPr>
          <w:rFonts w:ascii="宋体" w:hAnsi="宋体" w:eastAsia="宋体"/>
        </w:rPr>
      </w:pPr>
      <w:r>
        <w:rPr>
          <w:rFonts w:ascii="宋体" w:hAnsi="宋体" w:eastAsia="宋体"/>
          <w:sz w:val="18"/>
        </w:rPr>
        <w:t>从软件发展角度而言，针对水质、漏损、排水等核心需求，提供整体解决方案的智慧水务将迈入高速发展期。《国家新型城镇化规划（2014-2020 年）》《国家智慧城市（区、镇）试点指标体系（试行）》、国家八部委《关于促进智慧城市健康发展的指导意见》等政策反复强调“实施从水源地到水龙头的全过程监管”，“发展智慧水务与智能管网，构建覆盖供水全过程、保障供水质量安全的智能供排水和污水处理系统，实现城市地下空间、地下管网的信息化管理和运行监控智能化”。因此未来通过建立标准规范体系，整合上下游产品，为水司提供基于全局视角系统性的智慧水务解决方案，将会是一个实现多方共赢的智慧水务发展方向。随着智慧水务行业的深化发展，水司能为城市提供更为优质的供排水服务、水质污染管控与环境保护以及降低供水管网漏损率，同时管控与及时处理各种应急水务事件，提升水务服务水平与满意度。水务行业的智慧化将有效支撑智慧城市的整体落地，进而推动数字政府、数字中国的建设。</w:t>
      </w:r>
    </w:p>
    <w:p>
      <w:pPr>
        <w:spacing w:before="40" w:after="40"/>
        <w:ind w:firstLine="361"/>
        <w:rPr>
          <w:rFonts w:ascii="宋体" w:hAnsi="宋体" w:eastAsia="宋体"/>
          <w:b/>
          <w:sz w:val="18"/>
        </w:rPr>
      </w:pPr>
    </w:p>
    <w:p>
      <w:pPr>
        <w:spacing w:before="40" w:after="40"/>
        <w:ind w:firstLine="361"/>
        <w:rPr>
          <w:rFonts w:ascii="宋体" w:hAnsi="宋体" w:eastAsia="宋体"/>
        </w:rPr>
      </w:pPr>
      <w:r>
        <w:rPr>
          <w:rFonts w:ascii="宋体" w:hAnsi="宋体" w:eastAsia="宋体"/>
          <w:b/>
          <w:sz w:val="18"/>
        </w:rPr>
        <w:t>（三）行业的发展阶段和周期性特点</w:t>
      </w:r>
    </w:p>
    <w:p>
      <w:pPr>
        <w:spacing w:before="40" w:after="40"/>
        <w:ind w:firstLine="363"/>
        <w:rPr>
          <w:rFonts w:ascii="宋体" w:hAnsi="宋体" w:eastAsia="宋体"/>
        </w:rPr>
      </w:pPr>
      <w:r>
        <w:rPr>
          <w:rFonts w:ascii="宋体" w:hAnsi="宋体" w:eastAsia="宋体"/>
          <w:sz w:val="18"/>
        </w:rPr>
        <w:t>按照产品的渗透率的高低可以将行业的发展阶段划分为导入期、成长期、成熟期和衰退期。导入期的行业成长潜力大，但风险高；成长期的行业已经形成稳定可行的商业模式，并且已经初具规模，具备竞争优势的公司开始形成清晰的竞争壁垒；成熟期行业的产品和服务标准化程度极高，规模优势和成本控制成为核心竞争点，行业龙头的地位日益稳固；衰退期行业的产品和服务面临替代品的威胁，行业面临衰退的压力。从水表硬件端来看，2021年我国城镇地区自来水已基本普及，农村地区自来水普及率为84%，根据《“十四五”水安全规划保障》，2025年农村饮用水普及率预计达到88%以上。另据行业统计数据，2021年我国水表销售额增长率约为6%，水表销售台数的增长率约为3%，智能水表占水表总销量的比例约为40%。综合上述行业发展情况来看，水表制造行业已经进入成长后期，行业整体增速较前期相对放缓，同时日趋激烈的市场竞争也导致终端价格和毛利率出现一定程度下降。但总体而言，智能水表的需求仍然旺盛，智慧水务管理系统和方案的推广应用仍然处于高速增长期，随着大数据的发展和水务物联网建设的推进，水务企业对上述海量规模数据的挖掘和利用提出了更高的要求，面向业务领域的大数据分析应用具有巨大的市场需求，从而推动行业内优势企业的业绩增长。</w:t>
      </w:r>
    </w:p>
    <w:p>
      <w:pPr>
        <w:spacing w:before="40" w:after="40"/>
        <w:ind w:firstLine="363"/>
        <w:rPr>
          <w:rFonts w:ascii="宋体" w:hAnsi="宋体" w:eastAsia="宋体"/>
        </w:rPr>
      </w:pPr>
      <w:r>
        <w:rPr>
          <w:rFonts w:ascii="宋体" w:hAnsi="宋体" w:eastAsia="宋体"/>
          <w:sz w:val="18"/>
        </w:rPr>
        <w:t>据行业统计数据，2021年水表行业整体销量约为7400万台，其中房地产所贡献的新增需求约为800万台，销量占比为10.8%；城乡供水一体化改造贡献的补充需求约为1800万台，补充需求占比为24.3%；定期更换需求约为4800万台，占比为64.9%。根据《冷水表检定规程》的规定，标称口径25mm及以下的水表使用期限一般不超过6年，因此更换需求在一定程度上会相对稳定；城乡饮用水一体化改造，主要受政策推进和水务公司自身营运状况的影响，对水表的需求存在较大的不确定性；水表新增需求受地产销售、竣工的影响相对较大，具有一定的周期性。但总体而言，水表制造行业周期性相对较弱，若房地产行业维持下行态势对水表制造行业的影响也较小。</w:t>
      </w:r>
    </w:p>
    <w:p>
      <w:pPr>
        <w:spacing w:before="40" w:after="40"/>
        <w:ind w:firstLine="361"/>
        <w:rPr>
          <w:rFonts w:ascii="宋体" w:hAnsi="宋体" w:eastAsia="宋体"/>
          <w:b/>
          <w:sz w:val="18"/>
          <w:szCs w:val="18"/>
        </w:rPr>
      </w:pPr>
    </w:p>
    <w:p>
      <w:pPr>
        <w:spacing w:before="40" w:after="40"/>
        <w:ind w:firstLine="361"/>
        <w:rPr>
          <w:rFonts w:ascii="宋体" w:hAnsi="宋体" w:eastAsia="宋体"/>
          <w:sz w:val="18"/>
          <w:szCs w:val="18"/>
        </w:rPr>
      </w:pPr>
      <w:r>
        <w:rPr>
          <w:rFonts w:ascii="宋体" w:hAnsi="宋体" w:eastAsia="宋体"/>
          <w:b/>
          <w:sz w:val="18"/>
          <w:szCs w:val="18"/>
        </w:rPr>
        <w:t>（</w:t>
      </w:r>
      <w:r>
        <w:rPr>
          <w:rFonts w:ascii="宋体" w:hAnsi="宋体" w:eastAsia="宋体"/>
          <w:b/>
          <w:sz w:val="18"/>
        </w:rPr>
        <w:t>四）公司所处的行业地位</w:t>
      </w:r>
    </w:p>
    <w:p>
      <w:pPr>
        <w:spacing w:before="40" w:after="40"/>
        <w:ind w:firstLine="360" w:firstLineChars="200"/>
        <w:rPr>
          <w:rFonts w:ascii="宋体" w:hAnsi="宋体" w:eastAsia="宋体"/>
        </w:rPr>
      </w:pPr>
      <w:r>
        <w:rPr>
          <w:rFonts w:ascii="宋体" w:hAnsi="宋体" w:eastAsia="宋体"/>
          <w:sz w:val="18"/>
        </w:rPr>
        <w:t xml:space="preserve">公司是国内最早专业从事水表研发、生产、销售的企业之一，产品品种全，市场规模大，综合实力强，品牌知名度高，具有较高的行业和市场地位。控股子公司三川国德，研发水资源监测和信息管理的智慧水务管理平台，致力于为客户提供智能一体化解决方案，实现供水产业链的数字化管理。目前已为中国水务集团、深圳水务、杭州水务集团、萧山环境集团、瀚蓝环境等上百家大型水务公司提供产业链配套服务，提升了供水行业管理效率，赋能水生态产业链的智慧系统建设。 </w:t>
      </w:r>
    </w:p>
    <w:p>
      <w:pPr>
        <w:spacing w:before="40" w:after="40"/>
        <w:ind w:firstLine="360" w:firstLineChars="200"/>
        <w:rPr>
          <w:rFonts w:ascii="宋体" w:hAnsi="宋体" w:eastAsia="宋体"/>
        </w:rPr>
      </w:pPr>
      <w:r>
        <w:rPr>
          <w:rFonts w:ascii="宋体" w:hAnsi="宋体" w:eastAsia="宋体"/>
          <w:sz w:val="18"/>
        </w:rPr>
        <w:t>公司是“国家高新技术企业”、“国家技术创新示范企业”，设立了博士后科研工作站和院士专家科技服务站，公司技术中心被认定为国家认定企业技术中心。截至本报告期末，公司在智慧水务和智慧计量领域共计拥有有效专利397项（其中甬岭水表79项），其中发明专利33项（其中甬岭水表9项），拥有软件著作权371项（其中三川国德50项、甬岭水表11项），能够引领行业技术进步，具有较强的技术创新能力和市场竞争力。</w:t>
      </w:r>
    </w:p>
    <w:p>
      <w:pPr>
        <w:spacing w:before="40" w:after="40"/>
        <w:ind w:firstLine="360" w:firstLineChars="200"/>
        <w:rPr>
          <w:rFonts w:ascii="宋体" w:hAnsi="宋体" w:eastAsia="宋体"/>
          <w:b/>
          <w:sz w:val="18"/>
        </w:rPr>
      </w:pPr>
    </w:p>
    <w:p>
      <w:pPr>
        <w:spacing w:before="40" w:after="40"/>
        <w:ind w:firstLine="361"/>
        <w:rPr>
          <w:rFonts w:ascii="宋体" w:hAnsi="宋体" w:eastAsia="宋体"/>
        </w:rPr>
      </w:pPr>
      <w:r>
        <w:rPr>
          <w:rFonts w:ascii="宋体" w:hAnsi="宋体" w:eastAsia="宋体"/>
          <w:b/>
          <w:sz w:val="18"/>
        </w:rPr>
        <w:t>（五）新的产业政策对行业的影响</w:t>
      </w:r>
    </w:p>
    <w:p>
      <w:pPr>
        <w:spacing w:before="40" w:after="40"/>
        <w:ind w:firstLine="363"/>
        <w:rPr>
          <w:rFonts w:ascii="宋体" w:hAnsi="宋体" w:eastAsia="宋体"/>
        </w:rPr>
      </w:pPr>
      <w:r>
        <w:rPr>
          <w:rFonts w:ascii="宋体" w:hAnsi="宋体" w:eastAsia="宋体"/>
          <w:sz w:val="18"/>
        </w:rPr>
        <w:t>2022年1月11日，国家发改委、水利部印发了《“十四五”水安全保障规划》。《规划》是国家“十四五”规划体系的重要组成部分，是国家层面首次编制实施的水安全保障五年规划，是“十四五”时期水安全保障工作的重要依据。《规划》中与智慧水务行业相关的内容主要有以下几点：</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5"/>
        <w:gridCol w:w="4335"/>
        <w:gridCol w:w="4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trPr>
        <w:tc>
          <w:tcPr>
            <w:tcW w:w="329" w:type="pct"/>
            <w:tcBorders>
              <w:top w:val="single" w:color="000000" w:sz="8" w:space="0"/>
              <w:left w:val="single" w:color="000000" w:sz="8" w:space="0"/>
              <w:bottom w:val="single" w:color="000000" w:sz="8" w:space="0"/>
              <w:right w:val="single" w:color="000000" w:sz="8" w:space="0"/>
            </w:tcBorders>
            <w:shd w:val="clear" w:color="auto" w:fill="D9D9D9"/>
            <w:tcMar>
              <w:top w:w="10" w:type="dxa"/>
              <w:left w:w="10" w:type="dxa"/>
              <w:bottom w:w="10" w:type="dxa"/>
              <w:right w:w="10" w:type="dxa"/>
            </w:tcMar>
            <w:vAlign w:val="center"/>
          </w:tcPr>
          <w:p>
            <w:pPr>
              <w:jc w:val="center"/>
              <w:rPr>
                <w:rFonts w:ascii="宋体" w:hAnsi="宋体" w:eastAsia="宋体"/>
              </w:rPr>
            </w:pPr>
            <w:r>
              <w:rPr>
                <w:rFonts w:ascii="宋体" w:hAnsi="宋体" w:eastAsia="宋体"/>
                <w:b/>
                <w:color w:val="000000"/>
                <w:sz w:val="18"/>
              </w:rPr>
              <w:t>序号</w:t>
            </w:r>
          </w:p>
        </w:tc>
        <w:tc>
          <w:tcPr>
            <w:tcW w:w="2244" w:type="pct"/>
            <w:tcBorders>
              <w:top w:val="single" w:color="000000" w:sz="8" w:space="0"/>
              <w:bottom w:val="single" w:color="000000" w:sz="8" w:space="0"/>
              <w:right w:val="single" w:color="000000" w:sz="8" w:space="0"/>
            </w:tcBorders>
            <w:shd w:val="clear" w:color="auto" w:fill="D9D9D9"/>
            <w:tcMar>
              <w:top w:w="10" w:type="dxa"/>
              <w:left w:w="10" w:type="dxa"/>
              <w:bottom w:w="10" w:type="dxa"/>
              <w:right w:w="10" w:type="dxa"/>
            </w:tcMar>
            <w:vAlign w:val="center"/>
          </w:tcPr>
          <w:p>
            <w:pPr>
              <w:jc w:val="center"/>
              <w:rPr>
                <w:rFonts w:ascii="宋体" w:hAnsi="宋体" w:eastAsia="宋体"/>
              </w:rPr>
            </w:pPr>
            <w:r>
              <w:rPr>
                <w:rFonts w:ascii="宋体" w:hAnsi="宋体" w:eastAsia="宋体"/>
                <w:b/>
                <w:color w:val="000000"/>
                <w:sz w:val="18"/>
              </w:rPr>
              <w:t>规划的要点</w:t>
            </w:r>
          </w:p>
        </w:tc>
        <w:tc>
          <w:tcPr>
            <w:tcW w:w="2426" w:type="pct"/>
            <w:tcBorders>
              <w:top w:val="single" w:color="000000" w:sz="8" w:space="0"/>
              <w:bottom w:val="single" w:color="000000" w:sz="8" w:space="0"/>
              <w:right w:val="single" w:color="000000" w:sz="8" w:space="0"/>
            </w:tcBorders>
            <w:shd w:val="clear" w:color="auto" w:fill="D9D9D9"/>
            <w:tcMar>
              <w:top w:w="10" w:type="dxa"/>
              <w:left w:w="10" w:type="dxa"/>
              <w:bottom w:w="10" w:type="dxa"/>
              <w:right w:w="10" w:type="dxa"/>
            </w:tcMar>
            <w:vAlign w:val="center"/>
          </w:tcPr>
          <w:p>
            <w:pPr>
              <w:jc w:val="center"/>
              <w:rPr>
                <w:rFonts w:ascii="宋体" w:hAnsi="宋体" w:eastAsia="宋体"/>
              </w:rPr>
            </w:pPr>
            <w:r>
              <w:rPr>
                <w:rFonts w:ascii="宋体" w:hAnsi="宋体" w:eastAsia="宋体"/>
                <w:b/>
                <w:color w:val="000000"/>
                <w:sz w:val="18"/>
              </w:rPr>
              <w:t>对智慧水务行业的影响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3" w:hRule="atLeast"/>
        </w:trPr>
        <w:tc>
          <w:tcPr>
            <w:tcW w:w="329" w:type="pct"/>
            <w:tcBorders>
              <w:left w:val="single" w:color="000000" w:sz="8" w:space="0"/>
              <w:bottom w:val="single" w:color="000000" w:sz="8" w:space="0"/>
              <w:right w:val="single" w:color="000000" w:sz="8" w:space="0"/>
            </w:tcBorders>
            <w:tcMar>
              <w:top w:w="10" w:type="dxa"/>
              <w:left w:w="10" w:type="dxa"/>
              <w:bottom w:w="10" w:type="dxa"/>
              <w:right w:w="10" w:type="dxa"/>
            </w:tcMar>
            <w:vAlign w:val="center"/>
          </w:tcPr>
          <w:p>
            <w:pPr>
              <w:jc w:val="center"/>
              <w:rPr>
                <w:rFonts w:ascii="宋体" w:hAnsi="宋体" w:eastAsia="宋体"/>
              </w:rPr>
            </w:pPr>
            <w:r>
              <w:rPr>
                <w:rFonts w:ascii="宋体" w:hAnsi="宋体" w:eastAsia="宋体"/>
                <w:sz w:val="18"/>
              </w:rPr>
              <w:t>1</w:t>
            </w:r>
          </w:p>
        </w:tc>
        <w:tc>
          <w:tcPr>
            <w:tcW w:w="2244" w:type="pct"/>
            <w:tcBorders>
              <w:bottom w:val="single" w:color="000000" w:sz="8" w:space="0"/>
              <w:right w:val="single" w:color="000000" w:sz="8" w:space="0"/>
            </w:tcBorders>
            <w:tcMar>
              <w:top w:w="10" w:type="dxa"/>
              <w:left w:w="10" w:type="dxa"/>
              <w:bottom w:w="10" w:type="dxa"/>
              <w:right w:w="10" w:type="dxa"/>
            </w:tcMar>
            <w:vAlign w:val="center"/>
          </w:tcPr>
          <w:p>
            <w:pPr>
              <w:jc w:val="both"/>
              <w:rPr>
                <w:rFonts w:ascii="宋体" w:hAnsi="宋体" w:eastAsia="宋体"/>
              </w:rPr>
            </w:pPr>
            <w:r>
              <w:rPr>
                <w:rFonts w:ascii="宋体" w:hAnsi="宋体" w:eastAsia="宋体"/>
                <w:sz w:val="18"/>
              </w:rPr>
              <w:t>实施国家节水行动，强化水资源刚性约束。按照“严管控、抓重点、建机制”的思路，实施国家节水行动方案，推动水资源利用方式进一步向节约集约转变，加快形成节水型生产、生活方式和消费模式。</w:t>
            </w:r>
          </w:p>
        </w:tc>
        <w:tc>
          <w:tcPr>
            <w:tcW w:w="2426" w:type="pct"/>
            <w:tcBorders>
              <w:bottom w:val="single" w:color="000000" w:sz="8" w:space="0"/>
              <w:right w:val="single" w:color="000000" w:sz="8" w:space="0"/>
            </w:tcBorders>
            <w:tcMar>
              <w:top w:w="10" w:type="dxa"/>
              <w:left w:w="10" w:type="dxa"/>
              <w:bottom w:w="10" w:type="dxa"/>
              <w:right w:w="10" w:type="dxa"/>
            </w:tcMar>
            <w:vAlign w:val="center"/>
          </w:tcPr>
          <w:p>
            <w:pPr>
              <w:jc w:val="both"/>
              <w:rPr>
                <w:rFonts w:ascii="宋体" w:hAnsi="宋体" w:eastAsia="宋体"/>
              </w:rPr>
            </w:pPr>
            <w:r>
              <w:rPr>
                <w:rFonts w:ascii="宋体" w:hAnsi="宋体" w:eastAsia="宋体"/>
                <w:sz w:val="18"/>
              </w:rPr>
              <w:t>目前我国城市公共管网漏损率约为15-20%，距离2025年达到9%的目标尚有一段距离。而降低管网漏损率的方式包括通过智能水表的DMA分区计量+智慧水务管理系统对爆管风险进行及时预警与锁定。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5" w:hRule="atLeast"/>
        </w:trPr>
        <w:tc>
          <w:tcPr>
            <w:tcW w:w="329" w:type="pct"/>
            <w:tcBorders>
              <w:left w:val="single" w:color="000000" w:sz="8" w:space="0"/>
              <w:bottom w:val="single" w:color="000000" w:sz="8" w:space="0"/>
              <w:right w:val="single" w:color="000000" w:sz="8" w:space="0"/>
            </w:tcBorders>
            <w:tcMar>
              <w:top w:w="10" w:type="dxa"/>
              <w:left w:w="10" w:type="dxa"/>
              <w:bottom w:w="10" w:type="dxa"/>
              <w:right w:w="10" w:type="dxa"/>
            </w:tcMar>
            <w:vAlign w:val="center"/>
          </w:tcPr>
          <w:p>
            <w:pPr>
              <w:jc w:val="center"/>
              <w:rPr>
                <w:rFonts w:ascii="宋体" w:hAnsi="宋体" w:eastAsia="宋体"/>
              </w:rPr>
            </w:pPr>
            <w:r>
              <w:rPr>
                <w:rFonts w:ascii="宋体" w:hAnsi="宋体" w:eastAsia="宋体"/>
                <w:sz w:val="18"/>
              </w:rPr>
              <w:t>2</w:t>
            </w:r>
          </w:p>
        </w:tc>
        <w:tc>
          <w:tcPr>
            <w:tcW w:w="2244" w:type="pct"/>
            <w:tcBorders>
              <w:bottom w:val="single" w:color="000000" w:sz="8" w:space="0"/>
              <w:right w:val="single" w:color="000000" w:sz="8" w:space="0"/>
            </w:tcBorders>
            <w:tcMar>
              <w:top w:w="10" w:type="dxa"/>
              <w:left w:w="10" w:type="dxa"/>
              <w:bottom w:w="10" w:type="dxa"/>
              <w:right w:w="10" w:type="dxa"/>
            </w:tcMar>
            <w:vAlign w:val="center"/>
          </w:tcPr>
          <w:p>
            <w:pPr>
              <w:jc w:val="both"/>
              <w:rPr>
                <w:rFonts w:ascii="宋体" w:hAnsi="宋体" w:eastAsia="宋体"/>
              </w:rPr>
            </w:pPr>
            <w:r>
              <w:rPr>
                <w:rFonts w:ascii="宋体" w:hAnsi="宋体" w:eastAsia="宋体"/>
                <w:sz w:val="18"/>
              </w:rPr>
              <w:t>加强农业农村水利建设，提高乡村振兴水利保障能力。按照“保底线、提效能、促振兴”的思路，加大农业农村水利基础设施建设力度，重点向国家乡村振兴重点帮扶县、革命老区、民族地区等特殊类型地区倾斜，实现巩固拓展脱贫攻坚成果同乡村振兴有效衔接，提高乡村振兴水利保障水平。</w:t>
            </w:r>
          </w:p>
        </w:tc>
        <w:tc>
          <w:tcPr>
            <w:tcW w:w="2426" w:type="pct"/>
            <w:tcBorders>
              <w:bottom w:val="single" w:color="000000" w:sz="8" w:space="0"/>
              <w:right w:val="single" w:color="000000" w:sz="8" w:space="0"/>
            </w:tcBorders>
            <w:tcMar>
              <w:top w:w="10" w:type="dxa"/>
              <w:left w:w="10" w:type="dxa"/>
              <w:bottom w:w="10" w:type="dxa"/>
              <w:right w:w="10" w:type="dxa"/>
            </w:tcMar>
            <w:vAlign w:val="center"/>
          </w:tcPr>
          <w:p>
            <w:pPr>
              <w:jc w:val="both"/>
              <w:rPr>
                <w:rFonts w:ascii="宋体" w:hAnsi="宋体" w:eastAsia="宋体"/>
              </w:rPr>
            </w:pPr>
            <w:r>
              <w:rPr>
                <w:rFonts w:ascii="宋体" w:hAnsi="宋体" w:eastAsia="宋体"/>
                <w:sz w:val="18"/>
              </w:rPr>
              <w:t>2021年我国农村地区自来水普及率84%，2025年预计达到88%，若农村地区按照一户一表进行城乡供水一体化改造，预计对水表的总体需求约为8000万台。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4" w:hRule="atLeast"/>
        </w:trPr>
        <w:tc>
          <w:tcPr>
            <w:tcW w:w="329" w:type="pct"/>
            <w:tcBorders>
              <w:left w:val="single" w:color="000000" w:sz="8" w:space="0"/>
              <w:bottom w:val="single" w:color="000000" w:sz="8" w:space="0"/>
              <w:right w:val="single" w:color="000000" w:sz="8" w:space="0"/>
            </w:tcBorders>
            <w:tcMar>
              <w:top w:w="10" w:type="dxa"/>
              <w:left w:w="10" w:type="dxa"/>
              <w:bottom w:w="10" w:type="dxa"/>
              <w:right w:w="10" w:type="dxa"/>
            </w:tcMar>
            <w:vAlign w:val="center"/>
          </w:tcPr>
          <w:p>
            <w:pPr>
              <w:jc w:val="center"/>
              <w:rPr>
                <w:rFonts w:ascii="宋体" w:hAnsi="宋体" w:eastAsia="宋体"/>
              </w:rPr>
            </w:pPr>
            <w:r>
              <w:rPr>
                <w:rFonts w:ascii="宋体" w:hAnsi="宋体" w:eastAsia="宋体"/>
                <w:sz w:val="18"/>
              </w:rPr>
              <w:t>3</w:t>
            </w:r>
          </w:p>
        </w:tc>
        <w:tc>
          <w:tcPr>
            <w:tcW w:w="2244" w:type="pct"/>
            <w:tcBorders>
              <w:bottom w:val="single" w:color="000000" w:sz="8" w:space="0"/>
              <w:right w:val="single" w:color="000000" w:sz="8" w:space="0"/>
            </w:tcBorders>
            <w:tcMar>
              <w:top w:w="10" w:type="dxa"/>
              <w:left w:w="10" w:type="dxa"/>
              <w:bottom w:w="10" w:type="dxa"/>
              <w:right w:w="10" w:type="dxa"/>
            </w:tcMar>
            <w:vAlign w:val="center"/>
          </w:tcPr>
          <w:p>
            <w:pPr>
              <w:jc w:val="both"/>
              <w:rPr>
                <w:rFonts w:ascii="宋体" w:hAnsi="宋体" w:eastAsia="宋体"/>
              </w:rPr>
            </w:pPr>
            <w:r>
              <w:rPr>
                <w:rFonts w:ascii="宋体" w:hAnsi="宋体" w:eastAsia="宋体"/>
                <w:sz w:val="18"/>
              </w:rPr>
              <w:t>加强智慧水利建设，提升数字化网络化智能化水平。按照“强感知、增智慧、促应用”的思路，加强水安全感知能力建设，畅通水利信息网，强化水利网络安全保障，推进水利工程智能化改造，加快水利数字化转型，构建数字化、网络化、智能化的智慧水利体系。</w:t>
            </w:r>
          </w:p>
        </w:tc>
        <w:tc>
          <w:tcPr>
            <w:tcW w:w="2426" w:type="pct"/>
            <w:tcBorders>
              <w:bottom w:val="single" w:color="000000" w:sz="8" w:space="0"/>
              <w:right w:val="single" w:color="000000" w:sz="8" w:space="0"/>
            </w:tcBorders>
            <w:tcMar>
              <w:top w:w="10" w:type="dxa"/>
              <w:left w:w="10" w:type="dxa"/>
              <w:bottom w:w="10" w:type="dxa"/>
              <w:right w:w="10" w:type="dxa"/>
            </w:tcMar>
            <w:vAlign w:val="center"/>
          </w:tcPr>
          <w:p>
            <w:pPr>
              <w:jc w:val="both"/>
              <w:rPr>
                <w:rFonts w:ascii="宋体" w:hAnsi="宋体" w:eastAsia="宋体"/>
              </w:rPr>
            </w:pPr>
            <w:r>
              <w:rPr>
                <w:rFonts w:ascii="宋体" w:hAnsi="宋体" w:eastAsia="宋体"/>
                <w:sz w:val="18"/>
              </w:rPr>
              <w:t>智能水表是智慧城市、智慧水利建设的基础设施和载体，2021年水表整体销售数量约为7400万台，其中智能水表约为3000万台，占比约为40%。智能水表的平均单价在280～320元，机械水表的平均单价在50～60元，若智能水表当年销量占比能提高5%，则对应当年水表整体销售额将增加8～9亿元；同时将进一步提升水司水务信息化、智慧化的发展水平。</w:t>
            </w:r>
          </w:p>
        </w:tc>
      </w:tr>
    </w:tbl>
    <w:p>
      <w:pPr>
        <w:spacing w:before="40" w:after="40"/>
        <w:ind w:firstLine="360" w:firstLineChars="200"/>
        <w:rPr>
          <w:rFonts w:ascii="宋体" w:hAnsi="宋体" w:eastAsia="宋体"/>
        </w:rPr>
      </w:pPr>
      <w:r>
        <w:rPr>
          <w:rFonts w:ascii="宋体" w:hAnsi="宋体" w:eastAsia="宋体"/>
          <w:sz w:val="18"/>
        </w:rPr>
        <w:t>2022年1月19日国家住建部和发改委共同发布《关于加强公共供水管网漏损控制的通知》，提出到2025年全国城市公共供水管网漏损率力争控制在9%以内。国家住建部将会同发改委等有关部门将漏损控制目标制定及落实情况纳入有关考核，同时会遴选一批积极性高、示范效应好、预期成效佳的城市和县城开展公共供水管网漏损治理试点，实施公共供水管网漏损治理工程，总结推广典型经验。通知中要求的工作任务与智慧水务行业相关的主要包括以下三点：</w:t>
      </w:r>
    </w:p>
    <w:p>
      <w:pPr>
        <w:spacing w:before="40" w:after="40"/>
        <w:ind w:firstLine="360" w:firstLineChars="200"/>
        <w:rPr>
          <w:rFonts w:ascii="宋体" w:hAnsi="宋体" w:eastAsia="宋体"/>
        </w:rPr>
      </w:pPr>
      <w:r>
        <w:rPr>
          <w:rFonts w:ascii="宋体" w:hAnsi="宋体" w:eastAsia="宋体"/>
          <w:sz w:val="18"/>
        </w:rPr>
        <w:t>  ①推动供水管网分区计量工程：在管线建设改造、设备安装及分区计量系统建设中，积极推广采用先进的流量计量设备、阀门、水压水质监测设备和数据采集与传输装置，逐步实现供水管网网格化、精细化管理。实施“一户一表”改造，完善市政、绿化、消防、环卫等用水计量体系；</w:t>
      </w:r>
    </w:p>
    <w:p>
      <w:pPr>
        <w:spacing w:before="40" w:after="40"/>
        <w:ind w:firstLine="360" w:firstLineChars="200"/>
        <w:rPr>
          <w:rFonts w:ascii="宋体" w:hAnsi="宋体" w:eastAsia="宋体"/>
        </w:rPr>
      </w:pPr>
      <w:r>
        <w:rPr>
          <w:rFonts w:ascii="宋体" w:hAnsi="宋体" w:eastAsia="宋体"/>
          <w:sz w:val="18"/>
        </w:rPr>
        <w:t>  ②开展供水管网智能化建设工程：推动供水企业在完成供水管网信息化基础上，实施智能化改造，供水管网建设、改造过程中可同步敷设有关传感器，建立基于物联网的供水智能化管理平台。对供水设施运行状态和水量、水压、水质等信息进行实时监测，精准识别管网漏损点位，进行管网压力区域智能调节，逐步提高城市供水管网漏损的信息化、智慧化管理水平；</w:t>
      </w:r>
    </w:p>
    <w:p>
      <w:pPr>
        <w:spacing w:before="40" w:after="40"/>
        <w:ind w:firstLine="360" w:firstLineChars="200"/>
        <w:rPr>
          <w:rFonts w:ascii="宋体" w:hAnsi="宋体" w:eastAsia="宋体"/>
        </w:rPr>
      </w:pPr>
      <w:r>
        <w:rPr>
          <w:rFonts w:ascii="宋体" w:hAnsi="宋体" w:eastAsia="宋体"/>
          <w:sz w:val="18"/>
        </w:rPr>
        <w:t>  ③完善供水管网管理制度：推动供水企业将供水管网地理信息系统、营收、表务、调度管理与漏损控制等数据互通、平台共享，力争达到统一收集、统一管理、统一运营。供水企业进一步完善管网漏损控制管理制度，规范工作流程，落实运行维护管理要求，严格实施绩效考核，确保责任落实到位。</w:t>
      </w:r>
    </w:p>
    <w:p>
      <w:pPr>
        <w:spacing w:before="40" w:after="40"/>
        <w:ind w:firstLine="360" w:firstLineChars="200"/>
        <w:rPr>
          <w:rFonts w:ascii="宋体" w:hAnsi="宋体" w:eastAsia="宋体"/>
        </w:rPr>
      </w:pPr>
      <w:r>
        <w:rPr>
          <w:rFonts w:ascii="宋体" w:hAnsi="宋体" w:eastAsia="宋体"/>
          <w:sz w:val="18"/>
        </w:rPr>
        <w:t>上述工作要求，将进一步提升智能水表的销售占比以及水司的信息化、智慧化的发展水平；水司利用信息化技术提升管理水平、保障安全运行、降低管网漏损和提高服务水平的内生性需求的提高，将进一步推动相应的管网信息化、水务管理信息化和智慧化的发展。</w:t>
      </w:r>
    </w:p>
    <w:p>
      <w:pPr>
        <w:spacing w:before="40" w:after="40"/>
        <w:ind w:firstLine="360"/>
        <w:rPr>
          <w:rFonts w:ascii="宋体" w:hAnsi="宋体" w:eastAsia="宋体"/>
          <w:b/>
          <w:sz w:val="24"/>
        </w:rPr>
      </w:pPr>
      <w:r>
        <w:rPr>
          <w:rFonts w:ascii="宋体" w:hAnsi="宋体" w:eastAsia="宋体"/>
          <w:b/>
          <w:sz w:val="24"/>
        </w:rPr>
        <w:t> </w:t>
      </w:r>
    </w:p>
    <w:p>
      <w:pPr>
        <w:spacing w:before="40" w:after="40"/>
        <w:ind w:firstLine="360"/>
        <w:rPr>
          <w:rFonts w:ascii="宋体" w:hAnsi="宋体" w:eastAsia="宋体"/>
        </w:rPr>
      </w:pPr>
      <w:r>
        <w:rPr>
          <w:rFonts w:ascii="宋体" w:hAnsi="宋体" w:eastAsia="宋体"/>
          <w:b/>
          <w:sz w:val="24"/>
        </w:rPr>
        <w:t>2</w:t>
      </w:r>
      <w:r>
        <w:rPr>
          <w:rFonts w:hint="eastAsia" w:ascii="宋体" w:hAnsi="宋体" w:eastAsia="宋体"/>
          <w:b/>
          <w:sz w:val="24"/>
        </w:rPr>
        <w:t>、</w:t>
      </w:r>
      <w:r>
        <w:rPr>
          <w:rFonts w:ascii="宋体" w:hAnsi="宋体" w:eastAsia="宋体"/>
          <w:b/>
          <w:sz w:val="24"/>
        </w:rPr>
        <w:t>稀土资源回收利用行业</w:t>
      </w:r>
    </w:p>
    <w:p>
      <w:pPr>
        <w:spacing w:before="40" w:after="40"/>
        <w:ind w:firstLine="361"/>
        <w:rPr>
          <w:rFonts w:ascii="宋体" w:hAnsi="宋体" w:eastAsia="宋体"/>
          <w:b/>
          <w:sz w:val="18"/>
        </w:rPr>
      </w:pPr>
    </w:p>
    <w:p>
      <w:pPr>
        <w:spacing w:before="40" w:after="40"/>
        <w:ind w:firstLine="361"/>
        <w:rPr>
          <w:rFonts w:ascii="宋体" w:hAnsi="宋体" w:eastAsia="宋体"/>
        </w:rPr>
      </w:pPr>
      <w:r>
        <w:rPr>
          <w:rFonts w:ascii="宋体" w:hAnsi="宋体" w:eastAsia="宋体"/>
          <w:b/>
          <w:sz w:val="18"/>
        </w:rPr>
        <w:t>（一）行业基本情况</w:t>
      </w:r>
    </w:p>
    <w:p>
      <w:pPr>
        <w:spacing w:before="40" w:after="40"/>
        <w:ind w:firstLine="360" w:firstLineChars="200"/>
        <w:rPr>
          <w:rFonts w:ascii="宋体" w:hAnsi="宋体" w:eastAsia="宋体"/>
        </w:rPr>
      </w:pPr>
      <w:r>
        <w:rPr>
          <w:rFonts w:ascii="宋体" w:hAnsi="宋体" w:eastAsia="宋体"/>
          <w:sz w:val="18"/>
        </w:rPr>
        <w:t>稀土是17种化学元素的总称，誉为现代工业的“维生素”，是不可再生的重要战略资源。稀土元素被分为轻稀土和中重稀土两大类，其中轻稀土元素包括镧、铈、 镨、钕、钷、钐、铕、钆 8 个元素，中重稀土元素包括铽、镝、钬、铒、铥、镱、镥、钪、钇 9 个元素。</w:t>
      </w:r>
    </w:p>
    <w:p>
      <w:pPr>
        <w:spacing w:before="40" w:after="40"/>
        <w:ind w:firstLine="360" w:firstLineChars="200"/>
        <w:rPr>
          <w:rFonts w:ascii="宋体" w:hAnsi="宋体" w:eastAsia="宋体"/>
        </w:rPr>
      </w:pPr>
      <w:r>
        <w:rPr>
          <w:rFonts w:ascii="宋体" w:hAnsi="宋体" w:eastAsia="宋体"/>
          <w:sz w:val="18"/>
        </w:rPr>
        <w:t>稀土产业链主要由上游的资源开采，中游的分离冶炼、金属制备和下游各种材料制备及终端应用构成。产业链上游为稀土资源经开采后获得稀土矿石、稀土精矿等，目前已形成中国稀土、北方稀土、厦门钨业、广东稀土四大集团主导的格局；产业链中游，稀土矿石、稀土精矿等经火法/湿法冶炼分离、加工后可得到稀土氧化物，并通过熔盐电解等方式形成单一/混合稀土金属；产业链下游，稀土金属再被进一步精密加工成稀土永磁、催化、发光材料等多类稀土材料，应用于新能源、新材料、航空航天、军工、电子信息等领域。其中，根据稀土在线统计，全球稀土消费结构中，稀土永磁材料占比25%，而我国稀土消费结构中稀土永磁材料占比42%，稀土永磁材料已成为稀土领域发展最快、规模最大、最完整、最重要的细分及应用赛道。</w:t>
      </w:r>
    </w:p>
    <w:p>
      <w:pPr>
        <w:spacing w:before="40" w:after="40"/>
        <w:ind w:firstLine="360" w:firstLineChars="200"/>
        <w:rPr>
          <w:rFonts w:ascii="宋体" w:hAnsi="宋体" w:eastAsia="宋体"/>
        </w:rPr>
      </w:pPr>
      <w:r>
        <w:rPr>
          <w:rFonts w:ascii="宋体" w:hAnsi="宋体" w:eastAsia="宋体"/>
          <w:sz w:val="18"/>
        </w:rPr>
        <w:t>稀土资源回收利用是稀土资源供给的重要补充。主要为将钕铁硼生产企业20-30%的损耗废料以及生产稀土金属过程中产生的熔盐渣等，进行回收、加工生产稀土氧化物（主要产品为氧化镨钕），并将稀土氧化物销售给下游稀土金属制造商。据稀土行业协会数据，2021年中国钕铁硼产量为21.94万吨，则对应稀土废料产量约为6.6万吨。</w:t>
      </w:r>
    </w:p>
    <w:p>
      <w:pPr>
        <w:spacing w:before="40" w:after="40"/>
        <w:ind w:firstLine="360"/>
        <w:jc w:val="both"/>
      </w:pPr>
      <w:r>
        <w:drawing>
          <wp:inline distT="0" distB="0" distL="114300" distR="114300">
            <wp:extent cx="5876290" cy="2322195"/>
            <wp:effectExtent l="0" t="0" r="10160" b="1905"/>
            <wp:docPr id="12" name="图片 12" descr="d72e844fa599ca58a4270477828d5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72e844fa599ca58a4270477828d50f"/>
                    <pic:cNvPicPr>
                      <a:picLocks noChangeAspect="1"/>
                    </pic:cNvPicPr>
                  </pic:nvPicPr>
                  <pic:blipFill>
                    <a:blip r:embed="rId9"/>
                    <a:stretch>
                      <a:fillRect/>
                    </a:stretch>
                  </pic:blipFill>
                  <pic:spPr>
                    <a:xfrm>
                      <a:off x="0" y="0"/>
                      <a:ext cx="5876290" cy="2322195"/>
                    </a:xfrm>
                    <a:prstGeom prst="rect">
                      <a:avLst/>
                    </a:prstGeom>
                  </pic:spPr>
                </pic:pic>
              </a:graphicData>
            </a:graphic>
          </wp:inline>
        </w:drawing>
      </w:r>
    </w:p>
    <w:p>
      <w:pPr>
        <w:spacing w:before="119" w:after="119"/>
        <w:jc w:val="center"/>
        <w:rPr>
          <w:rFonts w:ascii="宋体" w:hAnsi="宋体" w:eastAsia="宋体"/>
        </w:rPr>
      </w:pPr>
      <w:r>
        <w:rPr>
          <w:rFonts w:ascii="宋体" w:hAnsi="宋体" w:eastAsia="宋体"/>
          <w:b/>
          <w:sz w:val="18"/>
        </w:rPr>
        <w:t>稀土行业产业链情况</w:t>
      </w:r>
    </w:p>
    <w:p>
      <w:pPr>
        <w:spacing w:before="40" w:after="40"/>
        <w:ind w:firstLine="361"/>
        <w:rPr>
          <w:rFonts w:ascii="宋体" w:hAnsi="宋体" w:eastAsia="宋体"/>
          <w:b/>
          <w:sz w:val="18"/>
        </w:rPr>
      </w:pPr>
    </w:p>
    <w:p>
      <w:pPr>
        <w:spacing w:before="40" w:after="40"/>
        <w:ind w:firstLine="361"/>
        <w:rPr>
          <w:rFonts w:ascii="宋体" w:hAnsi="宋体" w:eastAsia="宋体"/>
        </w:rPr>
      </w:pPr>
      <w:r>
        <w:rPr>
          <w:rFonts w:ascii="宋体" w:hAnsi="宋体" w:eastAsia="宋体"/>
          <w:b/>
          <w:sz w:val="18"/>
        </w:rPr>
        <w:t>（二）行业发展趋势</w:t>
      </w:r>
    </w:p>
    <w:p>
      <w:pPr>
        <w:spacing w:before="40" w:after="40"/>
        <w:ind w:firstLine="363"/>
        <w:rPr>
          <w:rFonts w:ascii="宋体" w:hAnsi="宋体" w:eastAsia="宋体"/>
        </w:rPr>
      </w:pPr>
      <w:r>
        <w:rPr>
          <w:rFonts w:ascii="宋体" w:hAnsi="宋体" w:eastAsia="宋体"/>
          <w:sz w:val="18"/>
        </w:rPr>
        <w:t>稀土资源回收利用是受国家政策支持和鼓励的行业。稀土废料回收利用行业中的原料主要来自于钕铁硼生产工序中产生20-30%的损耗废料，伴随着新能源汽车、风力发电、节能电机等领域的发展，以钕铁硼为代表的稀土永磁材料市场需求量大幅提升，废料来源将稳步增长。并且随着“城市矿产”报废周期临近，废料来源将进一步扩大。同时，受限于复杂多变的国际关系和地缘政治风险，海外资源的获取存在着不确定性。因此，稀土资源回收利用行业将迎来较好的发展机遇，一方面作为稀土供给的重要补充，此外也响应了国家发展循环经济、提高资源综合利用的发展规划。预计未来有望形成废料回收行业为主，原矿冶炼分离为辅的市场格局。</w:t>
      </w:r>
    </w:p>
    <w:p>
      <w:pPr>
        <w:spacing w:before="40" w:after="40"/>
        <w:ind w:firstLine="363"/>
        <w:rPr>
          <w:rFonts w:ascii="宋体" w:hAnsi="宋体" w:eastAsia="宋体"/>
        </w:rPr>
      </w:pPr>
      <w:r>
        <w:rPr>
          <w:rFonts w:ascii="宋体" w:hAnsi="宋体" w:eastAsia="宋体"/>
          <w:sz w:val="18"/>
        </w:rPr>
        <w:t>另外，随着国家“双碳”战略的推进，以钕铁硼为代表的稀土永磁材料需求将继续保持高速增长，而在供给端国家将持续加强环保、打黑，实行稀土开采、冶炼分离总量控制。在供给结构性优化和整顿以及新能源、“双碳”背景</w:t>
      </w:r>
      <w:r>
        <w:rPr>
          <w:rFonts w:hint="eastAsia" w:ascii="宋体" w:hAnsi="宋体" w:eastAsia="宋体"/>
          <w:sz w:val="18"/>
        </w:rPr>
        <w:t>下</w:t>
      </w:r>
      <w:r>
        <w:rPr>
          <w:rFonts w:ascii="宋体" w:hAnsi="宋体" w:eastAsia="宋体"/>
          <w:sz w:val="18"/>
        </w:rPr>
        <w:t>需求快速提升</w:t>
      </w:r>
      <w:r>
        <w:rPr>
          <w:rFonts w:hint="eastAsia" w:ascii="宋体" w:hAnsi="宋体" w:eastAsia="宋体"/>
          <w:sz w:val="18"/>
        </w:rPr>
        <w:t>的</w:t>
      </w:r>
      <w:r>
        <w:rPr>
          <w:rFonts w:ascii="宋体" w:hAnsi="宋体" w:eastAsia="宋体"/>
          <w:sz w:val="18"/>
        </w:rPr>
        <w:t>双重作用下，稀土资源回收利用行业将迎来稳步快速发展。</w:t>
      </w:r>
    </w:p>
    <w:p>
      <w:pPr>
        <w:spacing w:before="40" w:after="40"/>
        <w:ind w:firstLine="361"/>
        <w:rPr>
          <w:rFonts w:ascii="宋体" w:hAnsi="宋体" w:eastAsia="宋体"/>
          <w:b/>
          <w:sz w:val="18"/>
        </w:rPr>
      </w:pPr>
    </w:p>
    <w:p>
      <w:pPr>
        <w:spacing w:before="40" w:after="40"/>
        <w:ind w:firstLine="361"/>
        <w:rPr>
          <w:rFonts w:ascii="宋体" w:hAnsi="宋体" w:eastAsia="宋体"/>
        </w:rPr>
      </w:pPr>
      <w:r>
        <w:rPr>
          <w:rFonts w:ascii="宋体" w:hAnsi="宋体" w:eastAsia="宋体"/>
          <w:b/>
          <w:sz w:val="18"/>
        </w:rPr>
        <w:t>（三）行业的发展阶段和周期性特点</w:t>
      </w:r>
    </w:p>
    <w:p>
      <w:pPr>
        <w:spacing w:before="40" w:after="40"/>
        <w:ind w:firstLine="363"/>
        <w:rPr>
          <w:rFonts w:ascii="宋体" w:hAnsi="宋体" w:eastAsia="宋体"/>
        </w:rPr>
      </w:pPr>
      <w:r>
        <w:rPr>
          <w:rFonts w:ascii="宋体" w:hAnsi="宋体" w:eastAsia="宋体"/>
          <w:sz w:val="18"/>
        </w:rPr>
        <w:t>我国稀土资源回收利用行业起步较晚，仍处于发展阶段，再生资源回收体系尚不完善，还未完全形成集中收集、科学回收的体系，资源回收率不高，规模也较小。</w:t>
      </w:r>
    </w:p>
    <w:p>
      <w:pPr>
        <w:spacing w:before="40" w:after="40"/>
        <w:ind w:firstLine="363"/>
        <w:rPr>
          <w:rFonts w:ascii="宋体" w:hAnsi="宋体" w:eastAsia="宋体"/>
        </w:rPr>
      </w:pPr>
      <w:r>
        <w:rPr>
          <w:rFonts w:ascii="宋体" w:hAnsi="宋体" w:eastAsia="宋体"/>
          <w:sz w:val="18"/>
        </w:rPr>
        <w:t>目前行业内企业30余家，主要集中在江西，实际产能超过3000吨/年的不足5家。随着国家持续加强稀土行业秩序整顿，严控新增稀土资源综合利用企业数量和规模，推动稀土资源综合利用的集约化生产和高端化发展，行业整体集中度有望进一步提高。未来随着废料市场的竞争加剧，行业内的主要竞争点将集中于原料获取、产能规模以及技术先进性（稀土产品收率）三大方面，有望形成几家大型稀土资源回收利用企业主导废料回收市场的发展格局。</w:t>
      </w:r>
    </w:p>
    <w:p>
      <w:pPr>
        <w:spacing w:before="40" w:after="40"/>
        <w:ind w:firstLine="363"/>
        <w:rPr>
          <w:rFonts w:ascii="宋体" w:hAnsi="宋体" w:eastAsia="宋体"/>
        </w:rPr>
      </w:pPr>
      <w:r>
        <w:rPr>
          <w:rFonts w:ascii="宋体" w:hAnsi="宋体" w:eastAsia="宋体"/>
          <w:sz w:val="18"/>
        </w:rPr>
        <w:t>稀土资源回收利用行业的成本端主要为稀土废料，而产成品为稀土氧化物。因此，原材料价格与产品价格波动较为一致，例如镨钕金属废料的价格变化通常与氧化镨钕变化情况相符。产品成本和价格的传导机制较为通畅，在市场价格不出现连续大幅的单向变化的情况下，稀土资源回收利用企业通常能够获得较为稳定的产品利润率。</w:t>
      </w:r>
    </w:p>
    <w:p>
      <w:pPr>
        <w:spacing w:before="40" w:after="40"/>
        <w:ind w:firstLine="361"/>
        <w:rPr>
          <w:rFonts w:ascii="宋体" w:hAnsi="宋体" w:eastAsia="宋体"/>
          <w:b/>
          <w:sz w:val="18"/>
        </w:rPr>
      </w:pPr>
    </w:p>
    <w:p>
      <w:pPr>
        <w:spacing w:before="40" w:after="40"/>
        <w:ind w:firstLine="361"/>
        <w:rPr>
          <w:rFonts w:ascii="宋体" w:hAnsi="宋体" w:eastAsia="宋体"/>
        </w:rPr>
      </w:pPr>
      <w:r>
        <w:rPr>
          <w:rFonts w:ascii="宋体" w:hAnsi="宋体" w:eastAsia="宋体"/>
          <w:b/>
          <w:sz w:val="18"/>
        </w:rPr>
        <w:t>（四）公司所处的行业地位</w:t>
      </w:r>
    </w:p>
    <w:p>
      <w:pPr>
        <w:spacing w:before="40" w:after="40"/>
        <w:ind w:firstLine="363"/>
        <w:rPr>
          <w:rFonts w:ascii="宋体" w:hAnsi="宋体" w:eastAsia="宋体"/>
        </w:rPr>
      </w:pPr>
      <w:r>
        <w:rPr>
          <w:rFonts w:ascii="宋体" w:hAnsi="宋体" w:eastAsia="宋体"/>
          <w:sz w:val="18"/>
        </w:rPr>
        <w:t>2022年6月，公司出资2.14亿元收购天和永磁67%的股权。天和永磁主要从事钕铁硼废料和熔盐渣回收加工，稀土氧化物（REO）现产能为1000吨/年。天和永磁“年产3000吨稀土氧化物二次资源综合利用技术改造项目”已于2022年5月取得江西省工信厅批复，计划投资约2.80亿元。技改项目采取先进的联动萃取和阶梯式洗涤压滤工艺、高效绿色低碳的环保系统以及自动化、智能化程度高的机械设备，预计2023年建成投产后可形成年产稀土氧化物（REO）3000吨/年的生产能力。</w:t>
      </w:r>
    </w:p>
    <w:p>
      <w:pPr>
        <w:spacing w:before="40" w:after="40"/>
        <w:ind w:firstLine="363"/>
        <w:rPr>
          <w:rFonts w:ascii="宋体" w:hAnsi="宋体" w:eastAsia="宋体"/>
        </w:rPr>
      </w:pPr>
      <w:r>
        <w:rPr>
          <w:rFonts w:ascii="宋体" w:hAnsi="宋体" w:eastAsia="宋体"/>
          <w:sz w:val="18"/>
        </w:rPr>
        <w:t>天和永磁现拥有有效专利16项，通过采取先进的酸法工艺和碱转-酸溶联合工艺，高效处理钕铁硼废料和熔盐渣，产品收率可达96%，高于行业93-94%的平均水平，处于稀土资源回收利用行业前列，体现了深耕行业所积累的技术优势。天和永磁还是行业内少数具备熔盐渣处理能力的企业，技术实力在熔盐渣处置回收细分市场位居前列。相较于钕铁硼废料，熔盐渣成分更加复杂，通常含有氟元素，需增加碱转、除杂等工序处理，稀土元素分离难度更高，综合回收效益也更高。</w:t>
      </w:r>
    </w:p>
    <w:p>
      <w:pPr>
        <w:spacing w:before="40" w:after="40"/>
        <w:ind w:firstLine="361"/>
        <w:rPr>
          <w:rFonts w:ascii="宋体" w:hAnsi="宋体" w:eastAsia="宋体"/>
          <w:b/>
          <w:sz w:val="18"/>
        </w:rPr>
      </w:pPr>
    </w:p>
    <w:p>
      <w:pPr>
        <w:numPr>
          <w:ilvl w:val="0"/>
          <w:numId w:val="1"/>
        </w:numPr>
        <w:spacing w:before="40" w:after="40"/>
        <w:ind w:firstLine="361"/>
      </w:pPr>
      <w:r>
        <w:rPr>
          <w:rFonts w:ascii="宋体" w:hAnsi="宋体" w:eastAsia="宋体"/>
          <w:b/>
          <w:sz w:val="18"/>
        </w:rPr>
        <w:t>产业政策对行业的影响</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4"/>
        <w:gridCol w:w="1350"/>
        <w:gridCol w:w="3045"/>
        <w:gridCol w:w="3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1254" w:type="dxa"/>
            <w:tcBorders>
              <w:top w:val="single" w:color="000000" w:sz="8" w:space="0"/>
              <w:left w:val="single" w:color="000000" w:sz="8" w:space="0"/>
              <w:bottom w:val="single" w:color="000000" w:sz="8" w:space="0"/>
              <w:right w:val="single" w:color="000000" w:sz="8" w:space="0"/>
            </w:tcBorders>
            <w:shd w:val="clear" w:color="auto" w:fill="D9D9D9"/>
            <w:tcMar>
              <w:top w:w="0" w:type="dxa"/>
              <w:left w:w="108" w:type="dxa"/>
              <w:bottom w:w="0" w:type="dxa"/>
              <w:right w:w="108" w:type="dxa"/>
            </w:tcMar>
            <w:vAlign w:val="center"/>
          </w:tcPr>
          <w:p>
            <w:pPr>
              <w:jc w:val="center"/>
              <w:rPr>
                <w:rFonts w:ascii="宋体" w:hAnsi="宋体" w:eastAsia="宋体"/>
              </w:rPr>
            </w:pPr>
            <w:r>
              <w:rPr>
                <w:rFonts w:ascii="宋体" w:hAnsi="宋体" w:eastAsia="宋体"/>
                <w:b/>
                <w:color w:val="000000"/>
                <w:sz w:val="18"/>
              </w:rPr>
              <w:t>时间</w:t>
            </w:r>
          </w:p>
        </w:tc>
        <w:tc>
          <w:tcPr>
            <w:tcW w:w="1350" w:type="dxa"/>
            <w:tcBorders>
              <w:top w:val="single" w:color="000000" w:sz="8" w:space="0"/>
              <w:bottom w:val="single" w:color="000000" w:sz="8" w:space="0"/>
              <w:right w:val="single" w:color="000000" w:sz="8" w:space="0"/>
            </w:tcBorders>
            <w:shd w:val="clear" w:color="auto" w:fill="D9D9D9"/>
            <w:tcMar>
              <w:top w:w="0" w:type="dxa"/>
              <w:left w:w="108" w:type="dxa"/>
              <w:bottom w:w="0" w:type="dxa"/>
              <w:right w:w="108" w:type="dxa"/>
            </w:tcMar>
            <w:vAlign w:val="center"/>
          </w:tcPr>
          <w:p>
            <w:pPr>
              <w:jc w:val="center"/>
              <w:rPr>
                <w:rFonts w:ascii="宋体" w:hAnsi="宋体" w:eastAsia="宋体"/>
              </w:rPr>
            </w:pPr>
            <w:r>
              <w:rPr>
                <w:rFonts w:ascii="宋体" w:hAnsi="宋体" w:eastAsia="宋体"/>
                <w:b/>
                <w:color w:val="000000"/>
                <w:sz w:val="18"/>
              </w:rPr>
              <w:t>部门</w:t>
            </w:r>
          </w:p>
        </w:tc>
        <w:tc>
          <w:tcPr>
            <w:tcW w:w="3045" w:type="dxa"/>
            <w:tcBorders>
              <w:top w:val="single" w:color="000000" w:sz="8" w:space="0"/>
              <w:bottom w:val="single" w:color="000000" w:sz="8" w:space="0"/>
              <w:right w:val="single" w:color="000000" w:sz="8" w:space="0"/>
            </w:tcBorders>
            <w:shd w:val="clear" w:color="auto" w:fill="D9D9D9"/>
            <w:tcMar>
              <w:top w:w="0" w:type="dxa"/>
              <w:left w:w="108" w:type="dxa"/>
              <w:bottom w:w="0" w:type="dxa"/>
              <w:right w:w="108" w:type="dxa"/>
            </w:tcMar>
            <w:vAlign w:val="center"/>
          </w:tcPr>
          <w:p>
            <w:pPr>
              <w:jc w:val="center"/>
              <w:rPr>
                <w:rFonts w:ascii="宋体" w:hAnsi="宋体" w:eastAsia="宋体"/>
              </w:rPr>
            </w:pPr>
            <w:r>
              <w:rPr>
                <w:rFonts w:ascii="宋体" w:hAnsi="宋体" w:eastAsia="宋体"/>
                <w:b/>
                <w:color w:val="000000"/>
                <w:sz w:val="18"/>
              </w:rPr>
              <w:t>法案</w:t>
            </w:r>
          </w:p>
        </w:tc>
        <w:tc>
          <w:tcPr>
            <w:tcW w:w="3828" w:type="dxa"/>
            <w:tcBorders>
              <w:top w:val="single" w:color="000000" w:sz="8" w:space="0"/>
              <w:bottom w:val="single" w:color="000000" w:sz="8" w:space="0"/>
              <w:right w:val="single" w:color="000000" w:sz="8" w:space="0"/>
            </w:tcBorders>
            <w:shd w:val="clear" w:color="auto" w:fill="D9D9D9"/>
            <w:tcMar>
              <w:top w:w="0" w:type="dxa"/>
              <w:left w:w="108" w:type="dxa"/>
              <w:bottom w:w="0" w:type="dxa"/>
              <w:right w:w="108" w:type="dxa"/>
            </w:tcMar>
            <w:vAlign w:val="center"/>
          </w:tcPr>
          <w:p>
            <w:pPr>
              <w:jc w:val="center"/>
              <w:rPr>
                <w:rFonts w:ascii="宋体" w:hAnsi="宋体" w:eastAsia="宋体"/>
              </w:rPr>
            </w:pPr>
            <w:r>
              <w:rPr>
                <w:rFonts w:ascii="宋体" w:hAnsi="宋体" w:eastAsia="宋体"/>
                <w:b/>
                <w:color w:val="000000"/>
                <w:sz w:val="18"/>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0" w:hRule="atLeast"/>
        </w:trPr>
        <w:tc>
          <w:tcPr>
            <w:tcW w:w="1254"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pPr>
              <w:spacing w:before="40" w:after="40"/>
              <w:jc w:val="center"/>
              <w:rPr>
                <w:rFonts w:ascii="宋体" w:hAnsi="宋体" w:eastAsia="宋体"/>
              </w:rPr>
            </w:pPr>
            <w:r>
              <w:rPr>
                <w:rFonts w:ascii="宋体" w:hAnsi="宋体" w:eastAsia="宋体"/>
                <w:sz w:val="18"/>
              </w:rPr>
              <w:t>2015年6月</w:t>
            </w:r>
          </w:p>
        </w:tc>
        <w:tc>
          <w:tcPr>
            <w:tcW w:w="1350" w:type="dxa"/>
            <w:tcBorders>
              <w:bottom w:val="single" w:color="000000" w:sz="8" w:space="0"/>
              <w:right w:val="single" w:color="000000" w:sz="8" w:space="0"/>
            </w:tcBorders>
            <w:tcMar>
              <w:top w:w="0" w:type="dxa"/>
              <w:left w:w="108" w:type="dxa"/>
              <w:bottom w:w="0" w:type="dxa"/>
              <w:right w:w="108" w:type="dxa"/>
            </w:tcMar>
            <w:vAlign w:val="center"/>
          </w:tcPr>
          <w:p>
            <w:pPr>
              <w:spacing w:before="40" w:after="40"/>
              <w:jc w:val="center"/>
              <w:rPr>
                <w:rFonts w:ascii="宋体" w:hAnsi="宋体" w:eastAsia="宋体"/>
              </w:rPr>
            </w:pPr>
            <w:r>
              <w:rPr>
                <w:rFonts w:ascii="宋体" w:hAnsi="宋体" w:eastAsia="宋体"/>
                <w:sz w:val="18"/>
              </w:rPr>
              <w:t>财政部、国家税务总局</w:t>
            </w:r>
          </w:p>
        </w:tc>
        <w:tc>
          <w:tcPr>
            <w:tcW w:w="3045" w:type="dxa"/>
            <w:tcBorders>
              <w:bottom w:val="single" w:color="000000" w:sz="8" w:space="0"/>
              <w:right w:val="single" w:color="000000" w:sz="8" w:space="0"/>
            </w:tcBorders>
            <w:tcMar>
              <w:top w:w="0" w:type="dxa"/>
              <w:left w:w="108" w:type="dxa"/>
              <w:bottom w:w="0" w:type="dxa"/>
              <w:right w:w="108" w:type="dxa"/>
            </w:tcMar>
            <w:vAlign w:val="center"/>
          </w:tcPr>
          <w:p>
            <w:pPr>
              <w:spacing w:before="40" w:after="40"/>
              <w:jc w:val="center"/>
              <w:rPr>
                <w:rFonts w:ascii="宋体" w:hAnsi="宋体" w:eastAsia="宋体"/>
              </w:rPr>
            </w:pPr>
            <w:r>
              <w:rPr>
                <w:rFonts w:ascii="宋体" w:hAnsi="宋体" w:eastAsia="宋体"/>
                <w:sz w:val="18"/>
              </w:rPr>
              <w:t>《资源综合利用产品和劳务增值税优惠目录》</w:t>
            </w:r>
          </w:p>
        </w:tc>
        <w:tc>
          <w:tcPr>
            <w:tcW w:w="3828" w:type="dxa"/>
            <w:tcBorders>
              <w:bottom w:val="single" w:color="000000" w:sz="8" w:space="0"/>
              <w:right w:val="single" w:color="000000" w:sz="8" w:space="0"/>
            </w:tcBorders>
            <w:tcMar>
              <w:top w:w="0" w:type="dxa"/>
              <w:left w:w="108" w:type="dxa"/>
              <w:bottom w:w="0" w:type="dxa"/>
              <w:right w:w="108" w:type="dxa"/>
            </w:tcMar>
            <w:vAlign w:val="center"/>
          </w:tcPr>
          <w:p>
            <w:pPr>
              <w:spacing w:before="40" w:after="40"/>
              <w:jc w:val="both"/>
              <w:rPr>
                <w:rFonts w:ascii="宋体" w:hAnsi="宋体" w:eastAsia="宋体"/>
              </w:rPr>
            </w:pPr>
            <w:r>
              <w:rPr>
                <w:rFonts w:ascii="宋体" w:hAnsi="宋体" w:eastAsia="宋体"/>
                <w:sz w:val="18"/>
              </w:rPr>
              <w:t>从事“稀土产品加工废料，废弃稀土产品及拆解物”的企业可申请享受增值税即征即退政策，退税比例为30%。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3" w:hRule="atLeast"/>
        </w:trPr>
        <w:tc>
          <w:tcPr>
            <w:tcW w:w="1254"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pPr>
              <w:spacing w:before="40" w:after="40"/>
              <w:jc w:val="center"/>
              <w:rPr>
                <w:rFonts w:ascii="宋体" w:hAnsi="宋体" w:eastAsia="宋体"/>
              </w:rPr>
            </w:pPr>
            <w:r>
              <w:rPr>
                <w:rFonts w:ascii="宋体" w:hAnsi="宋体" w:eastAsia="宋体"/>
                <w:sz w:val="18"/>
              </w:rPr>
              <w:t>2016年6月</w:t>
            </w:r>
          </w:p>
        </w:tc>
        <w:tc>
          <w:tcPr>
            <w:tcW w:w="1350" w:type="dxa"/>
            <w:tcBorders>
              <w:bottom w:val="single" w:color="000000" w:sz="8" w:space="0"/>
              <w:right w:val="single" w:color="000000" w:sz="8" w:space="0"/>
            </w:tcBorders>
            <w:tcMar>
              <w:top w:w="0" w:type="dxa"/>
              <w:left w:w="108" w:type="dxa"/>
              <w:bottom w:w="0" w:type="dxa"/>
              <w:right w:w="108" w:type="dxa"/>
            </w:tcMar>
            <w:vAlign w:val="center"/>
          </w:tcPr>
          <w:p>
            <w:pPr>
              <w:spacing w:before="40" w:after="40"/>
              <w:jc w:val="center"/>
              <w:rPr>
                <w:rFonts w:ascii="宋体" w:hAnsi="宋体" w:eastAsia="宋体"/>
              </w:rPr>
            </w:pPr>
            <w:r>
              <w:rPr>
                <w:rFonts w:ascii="宋体" w:hAnsi="宋体" w:eastAsia="宋体"/>
                <w:sz w:val="18"/>
              </w:rPr>
              <w:t>工信部</w:t>
            </w:r>
          </w:p>
        </w:tc>
        <w:tc>
          <w:tcPr>
            <w:tcW w:w="3045" w:type="dxa"/>
            <w:tcBorders>
              <w:bottom w:val="single" w:color="000000" w:sz="8" w:space="0"/>
              <w:right w:val="single" w:color="000000" w:sz="8" w:space="0"/>
            </w:tcBorders>
            <w:tcMar>
              <w:top w:w="0" w:type="dxa"/>
              <w:left w:w="108" w:type="dxa"/>
              <w:bottom w:w="0" w:type="dxa"/>
              <w:right w:w="108" w:type="dxa"/>
            </w:tcMar>
            <w:vAlign w:val="center"/>
          </w:tcPr>
          <w:p>
            <w:pPr>
              <w:spacing w:before="40" w:after="40"/>
              <w:jc w:val="center"/>
              <w:rPr>
                <w:rFonts w:ascii="宋体" w:hAnsi="宋体" w:eastAsia="宋体"/>
              </w:rPr>
            </w:pPr>
            <w:r>
              <w:rPr>
                <w:rFonts w:ascii="宋体" w:hAnsi="宋体" w:eastAsia="宋体"/>
                <w:sz w:val="18"/>
              </w:rPr>
              <w:t>《稀土行业发展规划(2016-2020年)》</w:t>
            </w:r>
          </w:p>
        </w:tc>
        <w:tc>
          <w:tcPr>
            <w:tcW w:w="3828" w:type="dxa"/>
            <w:tcBorders>
              <w:bottom w:val="single" w:color="000000" w:sz="8" w:space="0"/>
              <w:right w:val="single" w:color="000000" w:sz="8" w:space="0"/>
            </w:tcBorders>
            <w:tcMar>
              <w:top w:w="0" w:type="dxa"/>
              <w:left w:w="108" w:type="dxa"/>
              <w:bottom w:w="0" w:type="dxa"/>
              <w:right w:w="108" w:type="dxa"/>
            </w:tcMar>
            <w:vAlign w:val="center"/>
          </w:tcPr>
          <w:p>
            <w:pPr>
              <w:spacing w:before="40" w:after="40"/>
              <w:jc w:val="both"/>
              <w:rPr>
                <w:rFonts w:ascii="宋体" w:hAnsi="宋体" w:eastAsia="宋体"/>
              </w:rPr>
            </w:pPr>
            <w:r>
              <w:rPr>
                <w:rFonts w:ascii="宋体" w:hAnsi="宋体" w:eastAsia="宋体"/>
                <w:sz w:val="18"/>
              </w:rPr>
              <w:t>发展循环经济，加强尾矿资源、伴生资源的综合利用，研发废旧稀土产品再利用成套技术，建立健全回收制度，完善稀土回收利用体系，提升稀土资源综合利用水平。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trPr>
        <w:tc>
          <w:tcPr>
            <w:tcW w:w="1254"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pPr>
              <w:spacing w:before="40" w:after="40"/>
              <w:jc w:val="center"/>
              <w:rPr>
                <w:rFonts w:ascii="宋体" w:hAnsi="宋体" w:eastAsia="宋体"/>
              </w:rPr>
            </w:pPr>
            <w:r>
              <w:rPr>
                <w:rFonts w:ascii="宋体" w:hAnsi="宋体" w:eastAsia="宋体"/>
                <w:sz w:val="18"/>
              </w:rPr>
              <w:t>2021年1月</w:t>
            </w:r>
          </w:p>
        </w:tc>
        <w:tc>
          <w:tcPr>
            <w:tcW w:w="1350" w:type="dxa"/>
            <w:tcBorders>
              <w:bottom w:val="single" w:color="000000" w:sz="8" w:space="0"/>
              <w:right w:val="single" w:color="000000" w:sz="8" w:space="0"/>
            </w:tcBorders>
            <w:tcMar>
              <w:top w:w="0" w:type="dxa"/>
              <w:left w:w="108" w:type="dxa"/>
              <w:bottom w:w="0" w:type="dxa"/>
              <w:right w:w="108" w:type="dxa"/>
            </w:tcMar>
            <w:vAlign w:val="center"/>
          </w:tcPr>
          <w:p>
            <w:pPr>
              <w:spacing w:before="40" w:after="40"/>
              <w:jc w:val="center"/>
              <w:rPr>
                <w:rFonts w:ascii="宋体" w:hAnsi="宋体" w:eastAsia="宋体"/>
              </w:rPr>
            </w:pPr>
            <w:r>
              <w:rPr>
                <w:rFonts w:ascii="宋体" w:hAnsi="宋体" w:eastAsia="宋体"/>
                <w:sz w:val="18"/>
              </w:rPr>
              <w:t>工信部</w:t>
            </w:r>
          </w:p>
        </w:tc>
        <w:tc>
          <w:tcPr>
            <w:tcW w:w="3045" w:type="dxa"/>
            <w:tcBorders>
              <w:bottom w:val="single" w:color="000000" w:sz="8" w:space="0"/>
              <w:right w:val="single" w:color="000000" w:sz="8" w:space="0"/>
            </w:tcBorders>
            <w:tcMar>
              <w:top w:w="0" w:type="dxa"/>
              <w:left w:w="108" w:type="dxa"/>
              <w:bottom w:w="0" w:type="dxa"/>
              <w:right w:w="108" w:type="dxa"/>
            </w:tcMar>
            <w:vAlign w:val="center"/>
          </w:tcPr>
          <w:p>
            <w:pPr>
              <w:spacing w:before="40" w:after="40"/>
              <w:jc w:val="center"/>
              <w:rPr>
                <w:rFonts w:ascii="宋体" w:hAnsi="宋体" w:eastAsia="宋体"/>
              </w:rPr>
            </w:pPr>
            <w:r>
              <w:rPr>
                <w:rFonts w:ascii="宋体" w:hAnsi="宋体" w:eastAsia="宋体"/>
                <w:sz w:val="18"/>
              </w:rPr>
              <w:t>《稀土管理条例（征求意见稿）》</w:t>
            </w:r>
          </w:p>
        </w:tc>
        <w:tc>
          <w:tcPr>
            <w:tcW w:w="3828" w:type="dxa"/>
            <w:tcBorders>
              <w:bottom w:val="single" w:color="000000" w:sz="8" w:space="0"/>
              <w:right w:val="single" w:color="000000" w:sz="8" w:space="0"/>
            </w:tcBorders>
            <w:tcMar>
              <w:top w:w="0" w:type="dxa"/>
              <w:left w:w="108" w:type="dxa"/>
              <w:bottom w:w="0" w:type="dxa"/>
              <w:right w:w="108" w:type="dxa"/>
            </w:tcMar>
            <w:vAlign w:val="center"/>
          </w:tcPr>
          <w:p>
            <w:pPr>
              <w:spacing w:before="40" w:after="40"/>
              <w:jc w:val="both"/>
              <w:rPr>
                <w:rFonts w:ascii="宋体" w:hAnsi="宋体" w:eastAsia="宋体"/>
              </w:rPr>
            </w:pPr>
            <w:r>
              <w:rPr>
                <w:rFonts w:ascii="宋体" w:hAnsi="宋体" w:eastAsia="宋体"/>
                <w:sz w:val="18"/>
              </w:rPr>
              <w:t>国家对稀土开采、稀土冶炼分离实行总量指标管理。同时鼓励和支持利用环境友好的技术、工艺，对含有稀土的二次资源进行回收利用。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5" w:hRule="atLeast"/>
        </w:trPr>
        <w:tc>
          <w:tcPr>
            <w:tcW w:w="1254"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pPr>
              <w:spacing w:before="40" w:after="40"/>
              <w:jc w:val="center"/>
              <w:rPr>
                <w:rFonts w:ascii="宋体" w:hAnsi="宋体" w:eastAsia="宋体"/>
              </w:rPr>
            </w:pPr>
            <w:r>
              <w:rPr>
                <w:rFonts w:ascii="宋体" w:hAnsi="宋体" w:eastAsia="宋体"/>
                <w:sz w:val="18"/>
              </w:rPr>
              <w:t>2021年7月</w:t>
            </w:r>
          </w:p>
        </w:tc>
        <w:tc>
          <w:tcPr>
            <w:tcW w:w="1350" w:type="dxa"/>
            <w:tcBorders>
              <w:bottom w:val="single" w:color="000000" w:sz="8" w:space="0"/>
              <w:right w:val="single" w:color="000000" w:sz="8" w:space="0"/>
            </w:tcBorders>
            <w:tcMar>
              <w:top w:w="0" w:type="dxa"/>
              <w:left w:w="108" w:type="dxa"/>
              <w:bottom w:w="0" w:type="dxa"/>
              <w:right w:w="108" w:type="dxa"/>
            </w:tcMar>
            <w:vAlign w:val="center"/>
          </w:tcPr>
          <w:p>
            <w:pPr>
              <w:spacing w:before="40" w:after="40"/>
              <w:jc w:val="center"/>
              <w:rPr>
                <w:rFonts w:ascii="宋体" w:hAnsi="宋体" w:eastAsia="宋体"/>
              </w:rPr>
            </w:pPr>
            <w:r>
              <w:rPr>
                <w:rFonts w:ascii="宋体" w:hAnsi="宋体" w:eastAsia="宋体"/>
                <w:sz w:val="18"/>
              </w:rPr>
              <w:t>国家发改委</w:t>
            </w:r>
          </w:p>
        </w:tc>
        <w:tc>
          <w:tcPr>
            <w:tcW w:w="3045" w:type="dxa"/>
            <w:tcBorders>
              <w:bottom w:val="single" w:color="000000" w:sz="8" w:space="0"/>
              <w:right w:val="single" w:color="000000" w:sz="8" w:space="0"/>
            </w:tcBorders>
            <w:tcMar>
              <w:top w:w="0" w:type="dxa"/>
              <w:left w:w="108" w:type="dxa"/>
              <w:bottom w:w="0" w:type="dxa"/>
              <w:right w:w="108" w:type="dxa"/>
            </w:tcMar>
            <w:vAlign w:val="center"/>
          </w:tcPr>
          <w:p>
            <w:pPr>
              <w:spacing w:before="40" w:after="40"/>
              <w:jc w:val="center"/>
              <w:rPr>
                <w:rFonts w:ascii="宋体" w:hAnsi="宋体" w:eastAsia="宋体"/>
              </w:rPr>
            </w:pPr>
            <w:r>
              <w:rPr>
                <w:rFonts w:ascii="宋体" w:hAnsi="宋体" w:eastAsia="宋体"/>
                <w:sz w:val="18"/>
              </w:rPr>
              <w:t>《“十四五”循环经济发展规划》</w:t>
            </w:r>
          </w:p>
        </w:tc>
        <w:tc>
          <w:tcPr>
            <w:tcW w:w="3828" w:type="dxa"/>
            <w:tcBorders>
              <w:bottom w:val="single" w:color="000000" w:sz="8" w:space="0"/>
              <w:right w:val="single" w:color="000000" w:sz="8" w:space="0"/>
            </w:tcBorders>
            <w:tcMar>
              <w:top w:w="0" w:type="dxa"/>
              <w:left w:w="108" w:type="dxa"/>
              <w:bottom w:w="0" w:type="dxa"/>
              <w:right w:w="108" w:type="dxa"/>
            </w:tcMar>
            <w:vAlign w:val="center"/>
          </w:tcPr>
          <w:p>
            <w:pPr>
              <w:spacing w:before="40" w:after="40"/>
              <w:jc w:val="both"/>
              <w:rPr>
                <w:rFonts w:ascii="宋体" w:hAnsi="宋体" w:eastAsia="宋体"/>
              </w:rPr>
            </w:pPr>
            <w:r>
              <w:rPr>
                <w:rFonts w:ascii="宋体" w:hAnsi="宋体" w:eastAsia="宋体"/>
                <w:sz w:val="18"/>
              </w:rPr>
              <w:t>着力建设资源循环型产业体系，加快构建废旧物资循环利用体系，全面提高资源利用效率，提升再生资源利用水平。推进废有色金属、报废机动车等城市废弃物分类利用和集中处置，引导再生资源加工利用项目集聚发展。实施废有色金属等再生资源回收利用行业规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3" w:hRule="atLeast"/>
        </w:trPr>
        <w:tc>
          <w:tcPr>
            <w:tcW w:w="1254" w:type="dxa"/>
            <w:tcBorders>
              <w:left w:val="single" w:color="000000" w:sz="8" w:space="0"/>
              <w:bottom w:val="single" w:color="000000" w:sz="8" w:space="0"/>
              <w:right w:val="single" w:color="000000" w:sz="8" w:space="0"/>
            </w:tcBorders>
            <w:tcMar>
              <w:top w:w="0" w:type="dxa"/>
              <w:left w:w="108" w:type="dxa"/>
              <w:bottom w:w="0" w:type="dxa"/>
              <w:right w:w="108" w:type="dxa"/>
            </w:tcMar>
            <w:vAlign w:val="center"/>
          </w:tcPr>
          <w:p>
            <w:pPr>
              <w:spacing w:before="40" w:after="40"/>
              <w:jc w:val="center"/>
              <w:rPr>
                <w:rFonts w:ascii="宋体" w:hAnsi="宋体" w:eastAsia="宋体"/>
              </w:rPr>
            </w:pPr>
            <w:r>
              <w:rPr>
                <w:rFonts w:ascii="宋体" w:hAnsi="宋体" w:eastAsia="宋体"/>
                <w:sz w:val="18"/>
              </w:rPr>
              <w:t>2021年12月</w:t>
            </w:r>
          </w:p>
        </w:tc>
        <w:tc>
          <w:tcPr>
            <w:tcW w:w="1350" w:type="dxa"/>
            <w:tcBorders>
              <w:bottom w:val="single" w:color="000000" w:sz="8" w:space="0"/>
              <w:right w:val="single" w:color="000000" w:sz="8" w:space="0"/>
            </w:tcBorders>
            <w:tcMar>
              <w:top w:w="0" w:type="dxa"/>
              <w:left w:w="108" w:type="dxa"/>
              <w:bottom w:w="0" w:type="dxa"/>
              <w:right w:w="108" w:type="dxa"/>
            </w:tcMar>
            <w:vAlign w:val="center"/>
          </w:tcPr>
          <w:p>
            <w:pPr>
              <w:spacing w:before="40" w:after="40"/>
              <w:jc w:val="center"/>
              <w:rPr>
                <w:rFonts w:ascii="宋体" w:hAnsi="宋体" w:eastAsia="宋体"/>
              </w:rPr>
            </w:pPr>
            <w:r>
              <w:rPr>
                <w:rFonts w:ascii="宋体" w:hAnsi="宋体" w:eastAsia="宋体"/>
                <w:sz w:val="18"/>
              </w:rPr>
              <w:t>财政部、国家税务总局</w:t>
            </w:r>
          </w:p>
        </w:tc>
        <w:tc>
          <w:tcPr>
            <w:tcW w:w="3045" w:type="dxa"/>
            <w:tcBorders>
              <w:bottom w:val="single" w:color="000000" w:sz="8" w:space="0"/>
              <w:right w:val="single" w:color="000000" w:sz="8" w:space="0"/>
            </w:tcBorders>
            <w:tcMar>
              <w:top w:w="0" w:type="dxa"/>
              <w:left w:w="108" w:type="dxa"/>
              <w:bottom w:w="0" w:type="dxa"/>
              <w:right w:w="108" w:type="dxa"/>
            </w:tcMar>
            <w:vAlign w:val="center"/>
          </w:tcPr>
          <w:p>
            <w:pPr>
              <w:spacing w:before="40" w:after="40"/>
              <w:jc w:val="center"/>
              <w:rPr>
                <w:rFonts w:ascii="宋体" w:hAnsi="宋体" w:eastAsia="宋体"/>
              </w:rPr>
            </w:pPr>
            <w:r>
              <w:rPr>
                <w:rFonts w:ascii="宋体" w:hAnsi="宋体" w:eastAsia="宋体"/>
                <w:sz w:val="18"/>
              </w:rPr>
              <w:t>《关于完善资源综合利用增值税政策的公告》</w:t>
            </w:r>
          </w:p>
        </w:tc>
        <w:tc>
          <w:tcPr>
            <w:tcW w:w="3828" w:type="dxa"/>
            <w:tcBorders>
              <w:bottom w:val="single" w:color="000000" w:sz="8" w:space="0"/>
              <w:right w:val="single" w:color="000000" w:sz="8" w:space="0"/>
            </w:tcBorders>
            <w:tcMar>
              <w:top w:w="0" w:type="dxa"/>
              <w:left w:w="108" w:type="dxa"/>
              <w:bottom w:w="0" w:type="dxa"/>
              <w:right w:w="108" w:type="dxa"/>
            </w:tcMar>
            <w:vAlign w:val="center"/>
          </w:tcPr>
          <w:p>
            <w:pPr>
              <w:spacing w:before="40" w:after="40"/>
              <w:jc w:val="both"/>
              <w:rPr>
                <w:rFonts w:ascii="宋体" w:hAnsi="宋体" w:eastAsia="宋体"/>
              </w:rPr>
            </w:pPr>
            <w:r>
              <w:rPr>
                <w:rFonts w:ascii="宋体" w:hAnsi="宋体" w:eastAsia="宋体"/>
                <w:sz w:val="18"/>
              </w:rPr>
              <w:t xml:space="preserve">从事再生资源回收的增值税一般纳税人销售其收购的再生资源，可以选择适用简易计税方法依照3%征收率计算缴纳增值税，或适用一般计税方法计算缴纳增值税。 </w:t>
            </w:r>
          </w:p>
        </w:tc>
      </w:tr>
    </w:tbl>
    <w:p>
      <w:pPr>
        <w:ind w:firstLine="360"/>
        <w:rPr>
          <w:rFonts w:ascii="宋体" w:hAnsi="宋体"/>
          <w:sz w:val="18"/>
        </w:rPr>
      </w:pPr>
      <w:r>
        <w:rPr>
          <w:rFonts w:ascii="宋体" w:hAnsi="宋体"/>
          <w:sz w:val="18"/>
        </w:rPr>
        <w:t> </w:t>
      </w:r>
    </w:p>
    <w:p>
      <w:pPr>
        <w:ind w:firstLine="363"/>
        <w:rPr>
          <w:rFonts w:ascii="宋体" w:hAnsi="宋体" w:eastAsia="宋体"/>
        </w:rPr>
      </w:pPr>
      <w:r>
        <w:rPr>
          <w:rFonts w:ascii="宋体" w:hAnsi="宋体" w:eastAsia="宋体"/>
          <w:sz w:val="18"/>
        </w:rPr>
        <w:t>随着我国产业结构的转型升级，经济增长模式逐步向集约型转变，国家日渐重视发展循环经济并加大了政策扶持力度，稀土资源回收利用行业也迈入了快速发展通道。随着近几年《关于完善资源综合利用增值税政策的公告》《“十四五”循环经济发展规划》《稀土管理条例（征求意见稿）》《稀土行业发展规划(2016-2020年)》等相关扶持政策的密集出台，稀土资源回收利用行业将在税收优惠、体系规范、技术创新等方面获得更大的政策支持力度，对我国稀土资源回收利用行业的长远发展起到了积极的推动和奠基作用。</w:t>
      </w:r>
    </w:p>
    <w:p>
      <w:pPr>
        <w:pStyle w:val="3"/>
        <w:spacing w:before="300" w:after="300" w:line="320" w:lineRule="exact"/>
        <w:rPr>
          <w:rFonts w:ascii="宋体" w:hAnsi="宋体" w:eastAsia="宋体" w:cs="宋体"/>
          <w:b/>
          <w:bCs/>
          <w:sz w:val="24"/>
          <w:szCs w:val="24"/>
        </w:rPr>
      </w:pPr>
      <w:bookmarkStart w:id="16" w:name="_Toc988903"/>
      <w:r>
        <w:rPr>
          <w:rFonts w:ascii="宋体" w:hAnsi="宋体" w:eastAsia="宋体" w:cs="宋体"/>
          <w:b/>
          <w:bCs/>
          <w:sz w:val="24"/>
          <w:szCs w:val="24"/>
        </w:rPr>
        <w:t>二、报告期内公司从事的主要业务</w:t>
      </w:r>
      <w:bookmarkEnd w:id="16"/>
    </w:p>
    <w:p>
      <w:pPr>
        <w:spacing w:before="40" w:after="40"/>
        <w:ind w:firstLine="361"/>
        <w:jc w:val="both"/>
        <w:rPr>
          <w:rFonts w:ascii="宋体" w:hAnsi="宋体" w:eastAsia="宋体"/>
        </w:rPr>
      </w:pPr>
      <w:r>
        <w:rPr>
          <w:rFonts w:ascii="宋体" w:hAnsi="宋体" w:eastAsia="宋体"/>
          <w:b/>
          <w:sz w:val="18"/>
        </w:rPr>
        <w:t>1</w:t>
      </w:r>
      <w:r>
        <w:rPr>
          <w:rFonts w:hint="eastAsia" w:ascii="宋体" w:hAnsi="宋体" w:eastAsia="宋体"/>
          <w:b/>
          <w:sz w:val="18"/>
        </w:rPr>
        <w:t>、</w:t>
      </w:r>
      <w:r>
        <w:rPr>
          <w:rFonts w:ascii="宋体" w:hAnsi="宋体" w:eastAsia="宋体"/>
          <w:b/>
          <w:sz w:val="18"/>
        </w:rPr>
        <w:t>主要业务</w:t>
      </w:r>
    </w:p>
    <w:p>
      <w:pPr>
        <w:spacing w:before="40" w:after="40"/>
        <w:ind w:firstLine="360" w:firstLineChars="200"/>
        <w:rPr>
          <w:rFonts w:ascii="宋体" w:hAnsi="宋体" w:eastAsia="宋体"/>
        </w:rPr>
      </w:pPr>
      <w:r>
        <w:rPr>
          <w:rFonts w:ascii="宋体" w:hAnsi="宋体" w:eastAsia="宋体"/>
          <w:sz w:val="18"/>
        </w:rPr>
        <w:t>公司目前的主营业务可分为智慧水务和稀土资源回收利用两大板块。在智慧水务领域，基于软硬融合、资源整合的发展思路，公司正在积极推进“一体两翼”发展战略，为供水企业提供智慧计量、智慧能源和优质供水一体化服务。智慧计量包括以智能水表特别是物联网水表为核心产品的各类水表、水务管理应用系统、水务投资运营、供水企业产销差与DMA分区计量管理以及智慧水务数据云平台建设等，致力成为世界领先的水计量功能服务商、智慧水务整体解决方案提供商、数字经济与水务大数据运营商，为我国“智慧城市建设”、“数字中国建设”提供科技赋能。稀土资源回收利用主要是通过采取先进的酸法工艺和碱转-酸溶联合工艺，高效处理钕铁硼废料和熔盐渣，生产氧化镨钕、氧化镝、氧化铽、氧化钆、氧化钬等稀土氧化物，其中氧化镨钕为主要产品。</w:t>
      </w:r>
    </w:p>
    <w:p>
      <w:pPr>
        <w:spacing w:before="40" w:after="40"/>
        <w:ind w:firstLine="361"/>
        <w:jc w:val="both"/>
        <w:rPr>
          <w:rFonts w:ascii="宋体" w:hAnsi="宋体" w:eastAsia="宋体"/>
          <w:b/>
          <w:sz w:val="18"/>
        </w:rPr>
      </w:pPr>
    </w:p>
    <w:p>
      <w:pPr>
        <w:spacing w:before="40" w:after="40"/>
        <w:ind w:firstLine="361"/>
        <w:jc w:val="both"/>
        <w:rPr>
          <w:rFonts w:ascii="宋体" w:hAnsi="宋体" w:eastAsia="宋体"/>
        </w:rPr>
      </w:pPr>
      <w:r>
        <w:rPr>
          <w:rFonts w:ascii="宋体" w:hAnsi="宋体" w:eastAsia="宋体"/>
          <w:b/>
          <w:sz w:val="18"/>
        </w:rPr>
        <w:t>2</w:t>
      </w:r>
      <w:r>
        <w:rPr>
          <w:rFonts w:hint="eastAsia" w:ascii="宋体" w:hAnsi="宋体" w:eastAsia="宋体"/>
          <w:b/>
          <w:sz w:val="18"/>
        </w:rPr>
        <w:t>、</w:t>
      </w:r>
      <w:r>
        <w:rPr>
          <w:rFonts w:ascii="宋体" w:hAnsi="宋体" w:eastAsia="宋体"/>
          <w:b/>
          <w:sz w:val="18"/>
        </w:rPr>
        <w:t>主要产品及用途</w:t>
      </w:r>
    </w:p>
    <w:p>
      <w:pPr>
        <w:spacing w:before="40" w:after="40"/>
        <w:ind w:firstLine="360" w:firstLineChars="200"/>
        <w:rPr>
          <w:rFonts w:ascii="宋体" w:hAnsi="宋体" w:eastAsia="宋体"/>
          <w:sz w:val="18"/>
        </w:rPr>
      </w:pPr>
      <w:r>
        <w:rPr>
          <w:rFonts w:ascii="宋体" w:hAnsi="宋体" w:eastAsia="宋体"/>
          <w:sz w:val="18"/>
        </w:rPr>
        <w:t xml:space="preserve">  ①NB-IoT无磁远传水表。NB-IoT无磁远传水表，是指采用NB-IoT通讯技术和无磁传感技术，实现数据远传的智能水表。其主要特点：①无磁传感：采用无磁传感技术，不受外界磁场干扰；②1L计量：机电转换最小分辨率为1L，便于做分区计量及用户漏损检测；③NB-IoT通讯：采用NB-IoT无线通讯，安装方便，无需布线；④数据存储：每30分钟存储一次，可连续存储31天的实时流量数据，可保存最近18个月的月结流量数据；⑤低压检测：水表供电电池低压时会主动上报至管理系统，提醒管理人员更换合格电池。 </w:t>
      </w:r>
    </w:p>
    <w:p>
      <w:pPr>
        <w:jc w:val="both"/>
        <w:rPr>
          <w:rFonts w:ascii="宋体" w:hAnsi="宋体"/>
          <w:sz w:val="18"/>
        </w:rPr>
      </w:pPr>
      <w:r>
        <w:drawing>
          <wp:anchor distT="0" distB="0" distL="0" distR="0" simplePos="0" relativeHeight="251660288" behindDoc="0" locked="0" layoutInCell="1" allowOverlap="1">
            <wp:simplePos x="0" y="0"/>
            <wp:positionH relativeFrom="column">
              <wp:posOffset>28575</wp:posOffset>
            </wp:positionH>
            <wp:positionV relativeFrom="paragraph">
              <wp:posOffset>64770</wp:posOffset>
            </wp:positionV>
            <wp:extent cx="6137275" cy="2763520"/>
            <wp:effectExtent l="0" t="0" r="15875" b="1778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a:srcRect/>
                    <a:stretch>
                      <a:fillRect/>
                    </a:stretch>
                  </pic:blipFill>
                  <pic:spPr>
                    <a:xfrm>
                      <a:off x="0" y="0"/>
                      <a:ext cx="6137275" cy="2763520"/>
                    </a:xfrm>
                    <a:prstGeom prst="rect">
                      <a:avLst/>
                    </a:prstGeom>
                  </pic:spPr>
                </pic:pic>
              </a:graphicData>
            </a:graphic>
          </wp:anchor>
        </w:drawing>
      </w:r>
    </w:p>
    <w:p>
      <w:pPr>
        <w:spacing w:before="40" w:after="40"/>
        <w:jc w:val="both"/>
        <w:rPr>
          <w:rFonts w:ascii="宋体" w:hAnsi="宋体"/>
          <w:sz w:val="18"/>
        </w:rPr>
      </w:pPr>
    </w:p>
    <w:p>
      <w:pPr>
        <w:spacing w:before="240" w:after="240"/>
        <w:jc w:val="center"/>
        <w:rPr>
          <w:rFonts w:ascii="宋体" w:hAnsi="宋体" w:eastAsia="宋体" w:cs="宋体"/>
          <w:b/>
          <w:bCs/>
          <w:sz w:val="18"/>
          <w:szCs w:val="18"/>
        </w:rPr>
      </w:pPr>
      <w:r>
        <w:rPr>
          <w:rFonts w:ascii="Times New Roman" w:hAnsi="Times New Roman"/>
          <w:b/>
          <w:bCs/>
          <w:sz w:val="18"/>
        </w:rPr>
        <w:t>NB-IoT</w:t>
      </w:r>
      <w:r>
        <w:rPr>
          <w:rFonts w:hint="eastAsia" w:ascii="宋体" w:hAnsi="宋体" w:eastAsia="宋体" w:cs="宋体"/>
          <w:b/>
          <w:bCs/>
          <w:sz w:val="18"/>
          <w:szCs w:val="18"/>
        </w:rPr>
        <w:t>水表关键技术优势</w:t>
      </w:r>
    </w:p>
    <w:p>
      <w:pPr>
        <w:spacing w:before="40" w:after="40"/>
        <w:jc w:val="both"/>
        <w:rPr>
          <w:rFonts w:ascii="宋体" w:hAnsi="宋体"/>
          <w:sz w:val="18"/>
        </w:rPr>
      </w:pPr>
    </w:p>
    <w:p>
      <w:pPr>
        <w:pStyle w:val="6"/>
        <w:rPr>
          <w:rFonts w:ascii="宋体" w:hAnsi="宋体"/>
          <w:sz w:val="18"/>
        </w:rPr>
      </w:pPr>
    </w:p>
    <w:p>
      <w:pPr>
        <w:pStyle w:val="6"/>
        <w:rPr>
          <w:rFonts w:ascii="宋体" w:hAnsi="宋体"/>
          <w:sz w:val="18"/>
        </w:rPr>
      </w:pPr>
    </w:p>
    <w:p>
      <w:pPr>
        <w:pStyle w:val="6"/>
        <w:rPr>
          <w:rFonts w:ascii="宋体" w:hAnsi="宋体"/>
          <w:sz w:val="18"/>
        </w:rPr>
      </w:pPr>
    </w:p>
    <w:p>
      <w:pPr>
        <w:pStyle w:val="6"/>
        <w:rPr>
          <w:rFonts w:ascii="宋体" w:hAnsi="宋体"/>
          <w:sz w:val="18"/>
        </w:rPr>
      </w:pPr>
    </w:p>
    <w:p>
      <w:pPr>
        <w:pStyle w:val="6"/>
        <w:rPr>
          <w:rFonts w:ascii="宋体" w:hAnsi="宋体"/>
          <w:sz w:val="18"/>
        </w:rPr>
      </w:pPr>
    </w:p>
    <w:p>
      <w:pPr>
        <w:spacing w:before="40" w:after="40"/>
        <w:ind w:firstLine="360" w:firstLineChars="200"/>
        <w:jc w:val="both"/>
        <w:rPr>
          <w:rFonts w:ascii="宋体" w:hAnsi="宋体" w:eastAsia="宋体"/>
          <w:sz w:val="18"/>
        </w:rPr>
      </w:pPr>
      <w:r>
        <w:rPr>
          <w:rFonts w:ascii="宋体" w:hAnsi="宋体"/>
          <w:sz w:val="18"/>
        </w:rPr>
        <w:t> </w:t>
      </w:r>
      <w:r>
        <w:rPr>
          <w:rFonts w:ascii="宋体" w:hAnsi="宋体" w:eastAsia="宋体"/>
          <w:sz w:val="18"/>
        </w:rPr>
        <w:t>②电磁水表。电磁水表是一种根据法拉第电磁感应定律来测量管内水流量的感应式计量仪表。与传统机械计量水表比较，电磁水表具有零磨损、低压损、宽量程、高灵敏度、易实现功能扩展等优点。例如可以选配压力传感器，检测安装点管道压力；采用NB或GPRS数据远传，实现远程抄表。该产品特别适用于管网监测和DMA分区计量管理，帮助水司及时发现漏点、减少漏损、降低产销差率。</w:t>
      </w:r>
    </w:p>
    <w:p>
      <w:pPr>
        <w:spacing w:before="40" w:after="40"/>
        <w:ind w:firstLine="479"/>
        <w:jc w:val="center"/>
      </w:pPr>
      <w:r>
        <w:drawing>
          <wp:inline distT="0" distB="0" distL="0" distR="0">
            <wp:extent cx="5330825" cy="1844675"/>
            <wp:effectExtent l="0" t="0" r="3175" b="317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1"/>
                    <a:srcRect/>
                    <a:stretch>
                      <a:fillRect/>
                    </a:stretch>
                  </pic:blipFill>
                  <pic:spPr>
                    <a:xfrm>
                      <a:off x="0" y="0"/>
                      <a:ext cx="5330825" cy="1844675"/>
                    </a:xfrm>
                    <a:prstGeom prst="rect">
                      <a:avLst/>
                    </a:prstGeom>
                  </pic:spPr>
                </pic:pic>
              </a:graphicData>
            </a:graphic>
          </wp:inline>
        </w:drawing>
      </w:r>
    </w:p>
    <w:p>
      <w:pPr>
        <w:spacing w:before="240" w:after="240"/>
        <w:jc w:val="center"/>
        <w:rPr>
          <w:rFonts w:ascii="宋体" w:hAnsi="宋体" w:eastAsia="宋体"/>
          <w:b/>
          <w:bCs/>
        </w:rPr>
      </w:pPr>
      <w:r>
        <w:rPr>
          <w:rFonts w:ascii="宋体" w:hAnsi="宋体" w:eastAsia="宋体"/>
          <w:b/>
          <w:bCs/>
          <w:sz w:val="18"/>
        </w:rPr>
        <w:t>电磁水表实物照片</w:t>
      </w:r>
    </w:p>
    <w:p>
      <w:pPr>
        <w:spacing w:before="40" w:after="40"/>
        <w:ind w:firstLine="360" w:firstLineChars="200"/>
        <w:rPr>
          <w:rFonts w:ascii="宋体" w:hAnsi="宋体" w:eastAsia="宋体"/>
          <w:sz w:val="18"/>
        </w:rPr>
      </w:pPr>
      <w:r>
        <w:rPr>
          <w:rFonts w:ascii="宋体" w:hAnsi="宋体" w:eastAsia="宋体"/>
          <w:sz w:val="18"/>
        </w:rPr>
        <w:t>③多感知超声波水表。多感知超声波水表是基于5G通信技术，能实时感知水量、水质、水压、水温等多种参数的一款水表。其主要特点：（1）超声波计量，计量精度高并可计量正、逆向流量；（2）集成水质传感器、温度传感器、压力传感器，可实时判断当前水质的优劣，对超低或超高水温进行预警，对管网压力进行检测，及时发现爆管或渗漏事故；（3）数据海量存储，可循环存储120月结数据、120天日结数据、50条故障记录、2000条事件记录；（4）产品具有红外通讯接口，接受固件升级，也可通过通信网络实现远程升级。</w:t>
      </w:r>
    </w:p>
    <w:p>
      <w:pPr>
        <w:spacing w:before="40" w:after="40"/>
        <w:ind w:firstLine="360"/>
        <w:jc w:val="center"/>
      </w:pPr>
      <w:r>
        <w:drawing>
          <wp:inline distT="0" distB="0" distL="0" distR="0">
            <wp:extent cx="4982210" cy="2664460"/>
            <wp:effectExtent l="0" t="0" r="8890" b="254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2"/>
                    <a:srcRect/>
                    <a:stretch>
                      <a:fillRect/>
                    </a:stretch>
                  </pic:blipFill>
                  <pic:spPr>
                    <a:xfrm>
                      <a:off x="0" y="0"/>
                      <a:ext cx="4982210" cy="2664460"/>
                    </a:xfrm>
                    <a:prstGeom prst="rect">
                      <a:avLst/>
                    </a:prstGeom>
                  </pic:spPr>
                </pic:pic>
              </a:graphicData>
            </a:graphic>
          </wp:inline>
        </w:drawing>
      </w:r>
      <w:r>
        <w:rPr>
          <w:rFonts w:ascii="等线" w:hAnsi="等线"/>
          <w:sz w:val="20"/>
        </w:rPr>
        <w:t xml:space="preserve"> </w:t>
      </w:r>
      <w:r>
        <w:rPr>
          <w:rFonts w:ascii="Times New Roman" w:hAnsi="Times New Roman"/>
          <w:sz w:val="18"/>
        </w:rPr>
        <w:t> </w:t>
      </w:r>
    </w:p>
    <w:p>
      <w:pPr>
        <w:spacing w:before="240" w:after="240"/>
        <w:jc w:val="center"/>
        <w:rPr>
          <w:rFonts w:ascii="宋体" w:hAnsi="宋体" w:eastAsia="宋体"/>
          <w:b/>
          <w:bCs/>
          <w:sz w:val="18"/>
        </w:rPr>
      </w:pPr>
      <w:r>
        <w:rPr>
          <w:rFonts w:ascii="宋体" w:hAnsi="宋体" w:eastAsia="宋体"/>
          <w:b/>
          <w:bCs/>
          <w:sz w:val="18"/>
        </w:rPr>
        <w:t>多感知超声波水表</w:t>
      </w:r>
    </w:p>
    <w:p>
      <w:pPr>
        <w:pStyle w:val="6"/>
        <w:rPr>
          <w:rFonts w:ascii="宋体" w:hAnsi="宋体" w:eastAsia="宋体"/>
          <w:b/>
          <w:bCs/>
          <w:sz w:val="18"/>
        </w:rPr>
      </w:pPr>
    </w:p>
    <w:p>
      <w:pPr>
        <w:pStyle w:val="6"/>
        <w:rPr>
          <w:rFonts w:ascii="宋体" w:hAnsi="宋体" w:eastAsia="宋体"/>
          <w:b/>
          <w:bCs/>
          <w:sz w:val="18"/>
        </w:rPr>
      </w:pPr>
    </w:p>
    <w:p>
      <w:pPr>
        <w:pStyle w:val="6"/>
        <w:rPr>
          <w:rFonts w:ascii="宋体" w:hAnsi="宋体" w:eastAsia="宋体"/>
          <w:b/>
          <w:bCs/>
          <w:sz w:val="18"/>
        </w:rPr>
      </w:pPr>
    </w:p>
    <w:p>
      <w:pPr>
        <w:pStyle w:val="6"/>
        <w:rPr>
          <w:rFonts w:ascii="宋体" w:hAnsi="宋体" w:eastAsia="宋体"/>
          <w:b/>
          <w:bCs/>
          <w:sz w:val="18"/>
        </w:rPr>
      </w:pPr>
    </w:p>
    <w:p>
      <w:pPr>
        <w:spacing w:before="40" w:after="40"/>
        <w:ind w:firstLine="360" w:firstLineChars="200"/>
        <w:jc w:val="both"/>
        <w:rPr>
          <w:rFonts w:ascii="宋体" w:hAnsi="宋体" w:eastAsia="宋体"/>
          <w:sz w:val="18"/>
        </w:rPr>
      </w:pPr>
      <w:r>
        <w:rPr>
          <w:rFonts w:ascii="宋体" w:hAnsi="宋体" w:eastAsia="宋体"/>
          <w:sz w:val="18"/>
        </w:rPr>
        <w:t>④无负压管网叠压稳流给水设备。即无负压供水设备，是一种加压供水机组，它直接与市政供水管网连接，在市政管网剩余压力基础上串联叠压供水，确保市政管网压力不小于设定保护压力的二次加压供水设备。主要用于高层供水，并配备监控系统，实现对供水机组的监测与控制，具有动态画面、状态监视、远程控制、报表处理、统计分析等功能。与传统的水池供水相比，无负压供水设备基础投资小，设备全封闭运行不会对水质造成二次污染，管网叠压及变频控制，用电节能30%以上，属于绿色环保产品。 </w:t>
      </w:r>
    </w:p>
    <w:p>
      <w:pPr>
        <w:spacing w:before="40" w:after="40"/>
        <w:ind w:firstLine="360"/>
      </w:pPr>
      <w:r>
        <w:drawing>
          <wp:anchor distT="0" distB="0" distL="0" distR="0" simplePos="0" relativeHeight="251661312" behindDoc="0" locked="0" layoutInCell="1" allowOverlap="1">
            <wp:simplePos x="0" y="0"/>
            <wp:positionH relativeFrom="column">
              <wp:posOffset>1123950</wp:posOffset>
            </wp:positionH>
            <wp:positionV relativeFrom="paragraph">
              <wp:posOffset>89535</wp:posOffset>
            </wp:positionV>
            <wp:extent cx="3839845" cy="1991360"/>
            <wp:effectExtent l="0" t="0" r="8255" b="8890"/>
            <wp:wrapTopAndBottom/>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3"/>
                    <a:srcRect/>
                    <a:stretch>
                      <a:fillRect/>
                    </a:stretch>
                  </pic:blipFill>
                  <pic:spPr>
                    <a:xfrm>
                      <a:off x="0" y="0"/>
                      <a:ext cx="3839845" cy="1991360"/>
                    </a:xfrm>
                    <a:prstGeom prst="rect">
                      <a:avLst/>
                    </a:prstGeom>
                  </pic:spPr>
                </pic:pic>
              </a:graphicData>
            </a:graphic>
          </wp:anchor>
        </w:drawing>
      </w:r>
    </w:p>
    <w:p>
      <w:pPr>
        <w:spacing w:before="240" w:after="240"/>
        <w:jc w:val="center"/>
        <w:rPr>
          <w:rFonts w:ascii="宋体" w:hAnsi="宋体" w:eastAsia="宋体"/>
          <w:b/>
          <w:bCs/>
        </w:rPr>
      </w:pPr>
      <w:r>
        <w:rPr>
          <w:rFonts w:ascii="宋体" w:hAnsi="宋体" w:eastAsia="宋体"/>
          <w:b/>
          <w:bCs/>
          <w:sz w:val="18"/>
        </w:rPr>
        <w:t>无负压供水设备实物照片</w:t>
      </w:r>
    </w:p>
    <w:p>
      <w:pPr>
        <w:spacing w:before="40" w:after="40"/>
        <w:ind w:firstLine="360" w:firstLineChars="200"/>
        <w:rPr>
          <w:rFonts w:ascii="宋体" w:hAnsi="宋体" w:eastAsia="宋体"/>
          <w:sz w:val="18"/>
        </w:rPr>
      </w:pPr>
      <w:r>
        <w:rPr>
          <w:rFonts w:ascii="宋体" w:hAnsi="宋体" w:eastAsia="宋体"/>
          <w:sz w:val="18"/>
        </w:rPr>
        <w:t>⑤智慧水务云平台（“云智联平台”）。智慧水务云平台是一个信息化、数字化、智慧化的水务移动互联网+SAAS服务平台，融合微服务架构、云原生、前后端分离等核心技术，集成物联网、水务业务管理、数据可视化、大数据分析、数据挖掘及应用一体化的全生态生命周期管理平台。该平台以“NB”水表等智能终端为抓手，以物联网、移动互联网、大数据等新一代信息技术为手段，建设国内领先的信息基础设施，成熟稳定的业务应用，灵活多样的便民服务手段，打造面向公众需求的民生服务、水资源管理及应用体系，健康有序地推动水务行业智慧化建设。智慧水务云平台兼容不同类型、厂商、协议的水表，消除烟囱式系统和数据孤岛，帮助水司实现生产调度（水质管理、二次供水、水厂工艺实时监测）、客服营销（智能抄表和收费系统）、运营管理（GIS系统、外勤系统、工程管理）和定量控漏（DMA分区计量、渗漏预警管理、压力调控管理）四大功能。</w:t>
      </w:r>
    </w:p>
    <w:p>
      <w:pPr>
        <w:spacing w:before="40" w:after="40"/>
        <w:jc w:val="center"/>
        <w:rPr>
          <w:rFonts w:ascii="宋体" w:hAnsi="宋体" w:eastAsia="宋体"/>
          <w:sz w:val="18"/>
        </w:rPr>
      </w:pPr>
      <w:r>
        <w:drawing>
          <wp:anchor distT="0" distB="0" distL="0" distR="0" simplePos="0" relativeHeight="251659264" behindDoc="0" locked="0" layoutInCell="1" allowOverlap="1">
            <wp:simplePos x="0" y="0"/>
            <wp:positionH relativeFrom="column">
              <wp:posOffset>0</wp:posOffset>
            </wp:positionH>
            <wp:positionV relativeFrom="paragraph">
              <wp:posOffset>86360</wp:posOffset>
            </wp:positionV>
            <wp:extent cx="5966460" cy="3002280"/>
            <wp:effectExtent l="0" t="0" r="15240" b="7620"/>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4"/>
                    <a:srcRect/>
                    <a:stretch>
                      <a:fillRect/>
                    </a:stretch>
                  </pic:blipFill>
                  <pic:spPr>
                    <a:xfrm>
                      <a:off x="0" y="0"/>
                      <a:ext cx="5966460" cy="3002280"/>
                    </a:xfrm>
                    <a:prstGeom prst="rect">
                      <a:avLst/>
                    </a:prstGeom>
                  </pic:spPr>
                </pic:pic>
              </a:graphicData>
            </a:graphic>
          </wp:anchor>
        </w:drawing>
      </w:r>
      <w:r>
        <w:rPr>
          <w:rFonts w:ascii="宋体" w:hAnsi="宋体"/>
          <w:sz w:val="18"/>
        </w:rPr>
        <w:t> </w:t>
      </w:r>
      <w:r>
        <w:rPr>
          <w:rFonts w:ascii="宋体" w:hAnsi="宋体" w:eastAsia="宋体"/>
          <w:b/>
          <w:bCs/>
          <w:sz w:val="18"/>
        </w:rPr>
        <w:t>智慧水务云平台架构图</w:t>
      </w:r>
    </w:p>
    <w:p>
      <w:pPr>
        <w:spacing w:before="40" w:after="40"/>
        <w:ind w:firstLine="360" w:firstLineChars="200"/>
        <w:rPr>
          <w:rFonts w:ascii="宋体" w:hAnsi="宋体" w:eastAsia="宋体"/>
          <w:sz w:val="18"/>
        </w:rPr>
      </w:pPr>
      <w:r>
        <w:rPr>
          <w:rFonts w:ascii="宋体" w:hAnsi="宋体" w:eastAsia="宋体"/>
          <w:sz w:val="18"/>
        </w:rPr>
        <w:t>⑥氧化镨钕。氧化镨钕是灰色或棕褐色粉末，钕和镨含量约为75%和25%，也是生产金属镨钕的原料，氧化镨钕高温融化加工后形成金属镨钕。金属镨钕是生产高性能钕铁硼永磁材料的主要原料，还可用于玻璃、陶瓷、深加工等应用领域。</w:t>
      </w:r>
    </w:p>
    <w:p>
      <w:pPr>
        <w:spacing w:before="40" w:after="119"/>
        <w:jc w:val="center"/>
      </w:pPr>
      <w:r>
        <w:drawing>
          <wp:inline distT="0" distB="0" distL="0" distR="0">
            <wp:extent cx="5267325" cy="2916555"/>
            <wp:effectExtent l="0" t="0" r="9525" b="1714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r:embed="rId15"/>
                    <a:srcRect/>
                    <a:stretch>
                      <a:fillRect/>
                    </a:stretch>
                  </pic:blipFill>
                  <pic:spPr>
                    <a:xfrm>
                      <a:off x="0" y="0"/>
                      <a:ext cx="5267325" cy="2916555"/>
                    </a:xfrm>
                    <a:prstGeom prst="rect">
                      <a:avLst/>
                    </a:prstGeom>
                  </pic:spPr>
                </pic:pic>
              </a:graphicData>
            </a:graphic>
          </wp:inline>
        </w:drawing>
      </w:r>
    </w:p>
    <w:p>
      <w:pPr>
        <w:spacing w:before="240" w:after="119"/>
        <w:jc w:val="center"/>
        <w:rPr>
          <w:rFonts w:ascii="宋体" w:hAnsi="宋体" w:eastAsia="宋体"/>
          <w:b/>
          <w:bCs/>
        </w:rPr>
      </w:pPr>
      <w:r>
        <w:rPr>
          <w:rFonts w:ascii="宋体" w:hAnsi="宋体" w:eastAsia="宋体"/>
          <w:b/>
          <w:bCs/>
          <w:sz w:val="18"/>
        </w:rPr>
        <w:t>氧化镨钕</w:t>
      </w:r>
    </w:p>
    <w:p>
      <w:pPr>
        <w:spacing w:before="40" w:after="40"/>
        <w:ind w:firstLine="361"/>
        <w:jc w:val="both"/>
        <w:rPr>
          <w:rFonts w:ascii="宋体" w:hAnsi="宋体" w:eastAsia="宋体"/>
          <w:b/>
          <w:sz w:val="18"/>
        </w:rPr>
      </w:pPr>
    </w:p>
    <w:p>
      <w:pPr>
        <w:spacing w:before="40" w:after="40"/>
        <w:ind w:firstLine="360" w:firstLineChars="200"/>
        <w:jc w:val="both"/>
      </w:pPr>
      <w:r>
        <w:rPr>
          <w:rFonts w:hint="eastAsia" w:ascii="宋体" w:hAnsi="宋体" w:eastAsia="宋体"/>
          <w:b/>
          <w:sz w:val="18"/>
        </w:rPr>
        <w:t>3、</w:t>
      </w:r>
      <w:r>
        <w:rPr>
          <w:rFonts w:ascii="宋体" w:hAnsi="宋体" w:eastAsia="宋体"/>
          <w:b/>
          <w:sz w:val="18"/>
        </w:rPr>
        <w:t>经营模式 </w:t>
      </w:r>
    </w:p>
    <w:p>
      <w:pPr>
        <w:spacing w:before="40" w:after="40"/>
        <w:ind w:firstLine="361"/>
        <w:jc w:val="both"/>
        <w:rPr>
          <w:rFonts w:ascii="宋体" w:hAnsi="宋体" w:eastAsia="宋体"/>
        </w:rPr>
      </w:pPr>
      <w:r>
        <w:rPr>
          <w:rFonts w:ascii="宋体" w:hAnsi="宋体" w:eastAsia="宋体"/>
          <w:b/>
          <w:sz w:val="18"/>
        </w:rPr>
        <w:t>（一）智慧计量</w:t>
      </w:r>
    </w:p>
    <w:p>
      <w:pPr>
        <w:spacing w:before="40" w:after="40"/>
        <w:ind w:firstLine="360" w:firstLineChars="200"/>
        <w:rPr>
          <w:rFonts w:ascii="宋体" w:hAnsi="宋体" w:eastAsia="宋体"/>
        </w:rPr>
      </w:pPr>
      <w:r>
        <w:rPr>
          <w:rFonts w:ascii="宋体" w:hAnsi="宋体" w:eastAsia="宋体"/>
          <w:sz w:val="18"/>
        </w:rPr>
        <w:t>公司拥有独立完整的研发、生产、销售与售后服务体系，根据市场需求及自身情况独立进行生产经营与服务活动。随着物联网、大数据、云计算等新一代信息技术的不断发展，水务行业的数字化、信息化、智慧化是必然趋势。为此，公司结合智能水表特别是物联网水表的销售，加快水务信息化管理系统的推广应用，积极介入水务大数据及其增值服务，为供水企业乃至整个城市提供包括水资源监测、管网监控、水质检测、用水调度、产销差管理在内的整体解决方案。</w:t>
      </w:r>
    </w:p>
    <w:p>
      <w:pPr>
        <w:spacing w:before="40" w:after="40"/>
        <w:ind w:firstLine="360" w:firstLineChars="200"/>
        <w:rPr>
          <w:rFonts w:ascii="宋体" w:hAnsi="宋体" w:eastAsia="宋体"/>
          <w:sz w:val="18"/>
        </w:rPr>
      </w:pPr>
      <w:r>
        <w:rPr>
          <w:rFonts w:ascii="宋体" w:hAnsi="宋体" w:eastAsia="宋体"/>
          <w:sz w:val="18"/>
        </w:rPr>
        <w:t xml:space="preserve"> ①采购模式</w:t>
      </w:r>
    </w:p>
    <w:p>
      <w:pPr>
        <w:spacing w:before="40" w:after="40"/>
        <w:ind w:firstLine="360" w:firstLineChars="200"/>
        <w:rPr>
          <w:rFonts w:ascii="宋体" w:hAnsi="宋体" w:eastAsia="宋体"/>
          <w:sz w:val="18"/>
        </w:rPr>
      </w:pPr>
      <w:r>
        <w:rPr>
          <w:rFonts w:ascii="宋体" w:hAnsi="宋体" w:eastAsia="宋体"/>
          <w:sz w:val="18"/>
        </w:rPr>
        <w:t>公司在采购上实行供应链管理模式，建立了完整的供应链管理体系以及合理的采购、检验制度，并建立采购信息化平台。对常规、通用性高的物料主要采用“寄售模式”，即当公司使用采购方的物料之后才确认采购过程的完成，可以大幅降低采购库存成本、减少资金占用，并对合</w:t>
      </w:r>
      <w:r>
        <w:rPr>
          <w:rFonts w:hint="eastAsia" w:ascii="宋体" w:hAnsi="宋体" w:eastAsia="宋体"/>
          <w:sz w:val="18"/>
        </w:rPr>
        <w:t>理</w:t>
      </w:r>
      <w:r>
        <w:rPr>
          <w:rFonts w:ascii="宋体" w:hAnsi="宋体" w:eastAsia="宋体"/>
          <w:sz w:val="18"/>
        </w:rPr>
        <w:t>库存水平进行精确化的计量与管理。公司与供应商之间建立了稳定、高效的合作关系，根据市场供应情况适时调整库存，有效保证公司原材料的及时且优质供应，平滑相关采购成本。通过实施市场价格跟踪及分析，确保采购物资综合性价比达到最优。在采购质量的控制方面，公司对供应商提供产品的价格、质量、交货时间以及管理能力等多项指标进行综合评估，建立详细的供方档案并持续进行考核，根据考核结果动态调整采购量。</w:t>
      </w:r>
    </w:p>
    <w:p>
      <w:pPr>
        <w:spacing w:before="40" w:after="40"/>
        <w:ind w:firstLine="360" w:firstLineChars="200"/>
        <w:rPr>
          <w:rFonts w:ascii="宋体" w:hAnsi="宋体" w:eastAsia="宋体"/>
          <w:sz w:val="18"/>
        </w:rPr>
      </w:pPr>
      <w:r>
        <w:rPr>
          <w:rFonts w:ascii="宋体" w:hAnsi="宋体" w:eastAsia="宋体"/>
          <w:sz w:val="18"/>
        </w:rPr>
        <w:t>②生产模式</w:t>
      </w:r>
    </w:p>
    <w:p>
      <w:pPr>
        <w:spacing w:before="40" w:after="40"/>
        <w:ind w:firstLine="360" w:firstLineChars="200"/>
        <w:rPr>
          <w:rFonts w:ascii="宋体" w:hAnsi="宋体" w:eastAsia="宋体"/>
          <w:sz w:val="18"/>
        </w:rPr>
      </w:pPr>
      <w:r>
        <w:rPr>
          <w:rFonts w:ascii="宋体" w:hAnsi="宋体" w:eastAsia="宋体"/>
          <w:sz w:val="18"/>
        </w:rPr>
        <w:t>公司原先采取的是“订单+备货”的生产模式，保障市场供应，维持合理库存。但近年来为提高生产效率，公司逐渐转向“精益生产模式”，本工序只有在下道工序有需求时才进行生产，工序和工序之间形成一环一环的衔接，相互制约与平衡，目标是为了追求零库存和对订单的快速反应。公司掌握超声波水表、NB-IoT物联网水表等多种智能水表的核心生产技术，能够及时满足市场对于不同类型水表的需求。根据水表市场需求情况，结合生产运营情况，公司科学有效地制定生产计划，确保生产运行管理有序、高效。对于批量式的通用型水表产品，公司依据往年的销售情况，同时紧跟市场需求开展预测，设置库存上下限。生产部门根据销售、库存情况组织生产，使库存维持在设定的范围之内；对于个性化、小规模等对公司生产流程的灵活性要求更高的订单，公司及时根据客户需求准备相关原料并组织生产。</w:t>
      </w:r>
    </w:p>
    <w:p>
      <w:pPr>
        <w:spacing w:before="40" w:after="40"/>
        <w:ind w:firstLine="360" w:firstLineChars="200"/>
        <w:rPr>
          <w:rFonts w:ascii="宋体" w:hAnsi="宋体" w:eastAsia="宋体"/>
          <w:sz w:val="18"/>
        </w:rPr>
      </w:pPr>
      <w:r>
        <w:rPr>
          <w:rFonts w:ascii="宋体" w:hAnsi="宋体" w:eastAsia="宋体"/>
          <w:sz w:val="18"/>
        </w:rPr>
        <w:t xml:space="preserve"> ③销售模式</w:t>
      </w:r>
    </w:p>
    <w:p>
      <w:pPr>
        <w:spacing w:before="40" w:after="40"/>
        <w:ind w:firstLine="360" w:firstLineChars="200"/>
        <w:rPr>
          <w:rFonts w:ascii="宋体" w:hAnsi="宋体" w:eastAsia="宋体"/>
          <w:sz w:val="18"/>
        </w:rPr>
      </w:pPr>
      <w:r>
        <w:rPr>
          <w:rFonts w:ascii="宋体" w:hAnsi="宋体" w:eastAsia="宋体"/>
          <w:sz w:val="18"/>
        </w:rPr>
        <w:t>根据客户是否为最终用户，公司的销售模式分为直销和经销，2022年直销客户占据公司约70%的销售份额。直销模式下，公司已实现覆盖东北、华东、华北、华南、华中、西南、西北七个大区的全国性营销服务网络，其中华东和华北是公司的主要服务地区。为了更好地服务客户、拓展市场，公司在11个中心区位城市设立了营销办事处。针对水务公司集团化的发展趋势，公司通过合资、合作等方式，与大型水务集团、水务投资企业建立长期稳定的战略合作关系，借助合作方的影响力开拓区域</w:t>
      </w:r>
      <w:r>
        <w:rPr>
          <w:rFonts w:hint="eastAsia" w:ascii="宋体" w:hAnsi="宋体" w:eastAsia="宋体"/>
          <w:sz w:val="18"/>
        </w:rPr>
        <w:t>与周边</w:t>
      </w:r>
      <w:r>
        <w:rPr>
          <w:rFonts w:ascii="宋体" w:hAnsi="宋体" w:eastAsia="宋体"/>
          <w:sz w:val="18"/>
        </w:rPr>
        <w:t>市场。同时成立大客户部，主攻省级、地市级大客户，及时、专业、有效地满足客户个性化需求。报告期内，公司成立了智慧水务事业群，设立了智慧水务营销中心，全力推进和实施“三川特色、一体两翼”的发展战略，促进供水企业实现信息化、数字化转型和绿色低碳发展。</w:t>
      </w:r>
    </w:p>
    <w:p>
      <w:pPr>
        <w:spacing w:before="40" w:after="40"/>
        <w:ind w:firstLine="360" w:firstLineChars="200"/>
        <w:rPr>
          <w:rFonts w:ascii="宋体" w:hAnsi="宋体" w:eastAsia="宋体"/>
          <w:sz w:val="18"/>
        </w:rPr>
      </w:pPr>
      <w:r>
        <w:rPr>
          <w:rFonts w:ascii="宋体" w:hAnsi="宋体" w:eastAsia="宋体"/>
          <w:sz w:val="18"/>
        </w:rPr>
        <w:t>④售后服务模式</w:t>
      </w:r>
    </w:p>
    <w:p>
      <w:pPr>
        <w:spacing w:before="40" w:after="40"/>
        <w:ind w:firstLine="360" w:firstLineChars="200"/>
        <w:rPr>
          <w:rFonts w:ascii="宋体" w:hAnsi="宋体" w:eastAsia="宋体"/>
          <w:sz w:val="18"/>
        </w:rPr>
      </w:pPr>
      <w:r>
        <w:rPr>
          <w:rFonts w:ascii="宋体" w:hAnsi="宋体" w:eastAsia="宋体"/>
          <w:sz w:val="18"/>
        </w:rPr>
        <w:t>公司的售后服务工作采用总部统一管理，并在不同片区设立售后办事处，派有常驻售后服务工程师，专职负责售后服务工作。公司的售后服务体系主要包括以下四个方面：（1）完善的服务网络。公司专设客户服务部，配备充足服务人员，针对客户实际情况，实行客户服务本地化，实现点对点的服务；（2）快速响应机制。开通客户服务热线及专门线上QQ联系渠道，公司的售后服务采用24小时服务响应机制，在接到客户需求第一时间响应、提供解决方案；（3）专业服务支持。为客户免费提供系统化产品培训，对水表调试、安装进行免费技术指导与培训，在产品使用期间，帮助客户解决遇到的各种故障问题；（4）科学的跟踪机制。建立客户产品使用跟踪档案，每月定期回访（电话或现场），及时了解问题、解决问题。若客户需要，关于对水表的检测、使用等方面问题，技术人员可上门进行免费培训、指导，同时欢迎用户派人来公司交流学习，提供定制化的服务。售后服务完成后公司会在一个工作日内电话回访客户，请客户对本次售后服务的响应速度、服务技能、服务态度、服务效率等进行评判，以利及时改进、提高客户满意度。</w:t>
      </w:r>
    </w:p>
    <w:p>
      <w:pPr>
        <w:spacing w:before="40" w:after="119"/>
        <w:ind w:firstLine="360" w:firstLineChars="200"/>
        <w:jc w:val="both"/>
        <w:rPr>
          <w:rFonts w:ascii="宋体" w:hAnsi="宋体" w:eastAsia="宋体"/>
          <w:b/>
          <w:sz w:val="18"/>
        </w:rPr>
      </w:pPr>
    </w:p>
    <w:p>
      <w:pPr>
        <w:spacing w:before="40" w:after="119"/>
        <w:ind w:firstLine="361"/>
        <w:jc w:val="both"/>
        <w:rPr>
          <w:rFonts w:ascii="宋体" w:hAnsi="宋体" w:eastAsia="宋体"/>
        </w:rPr>
      </w:pPr>
      <w:r>
        <w:rPr>
          <w:rFonts w:ascii="宋体" w:hAnsi="宋体" w:eastAsia="宋体"/>
          <w:b/>
          <w:sz w:val="18"/>
        </w:rPr>
        <w:t>（二）稀土资源回收利用</w:t>
      </w:r>
    </w:p>
    <w:p>
      <w:pPr>
        <w:spacing w:before="40" w:after="40"/>
        <w:ind w:firstLine="360" w:firstLineChars="200"/>
        <w:rPr>
          <w:rFonts w:ascii="宋体" w:hAnsi="宋体" w:eastAsia="宋体"/>
          <w:sz w:val="18"/>
        </w:rPr>
      </w:pPr>
      <w:r>
        <w:rPr>
          <w:rFonts w:ascii="宋体" w:hAnsi="宋体" w:eastAsia="宋体"/>
          <w:sz w:val="18"/>
        </w:rPr>
        <w:t>公司控股子公司天和永磁是利用稀土废料生产加工稀土氧化物等系列产品的资源回收利用企业，拥有利用钕铁硼废料、熔盐渣生产多种稀土氧化物的完整体系，为客户提供稀土氧化物和代加工等一系列产品和服务。天和永磁是行业内少数具备熔盐渣处理能力的企业，技术实力在熔盐渣处置回收细分市场位居前列，整体产品收率和加工生产能力在业内处于领先水平，产品品质得到广泛认可。</w:t>
      </w:r>
    </w:p>
    <w:p>
      <w:pPr>
        <w:spacing w:before="40" w:after="40"/>
        <w:ind w:firstLine="360" w:firstLineChars="200"/>
        <w:rPr>
          <w:rFonts w:ascii="宋体" w:hAnsi="宋体" w:eastAsia="宋体"/>
          <w:sz w:val="18"/>
        </w:rPr>
      </w:pPr>
      <w:r>
        <w:rPr>
          <w:rFonts w:ascii="宋体" w:hAnsi="宋体" w:eastAsia="宋体"/>
          <w:sz w:val="18"/>
        </w:rPr>
        <w:t>①采购模式</w:t>
      </w:r>
    </w:p>
    <w:p>
      <w:pPr>
        <w:spacing w:before="40" w:after="40"/>
        <w:ind w:firstLine="360" w:firstLineChars="200"/>
        <w:rPr>
          <w:rFonts w:ascii="宋体" w:hAnsi="宋体" w:eastAsia="宋体"/>
          <w:sz w:val="18"/>
        </w:rPr>
      </w:pPr>
      <w:r>
        <w:rPr>
          <w:rFonts w:ascii="宋体" w:hAnsi="宋体" w:eastAsia="宋体"/>
          <w:sz w:val="18"/>
        </w:rPr>
        <w:t>每个月由公司决策层根据市场价格、产能计划以及原材料库存情况安排下个月的采购计划。采购的原料分为主料和辅料两大块，主料为熔盐渣、钕铁硼废料，辅料为P507、盐酸、液碱、石灰等。熔盐渣和钕铁硼废料供应商主要为个人供应商。所采购的熔盐渣、钕铁硼废料由供应商送货到厂，详细记录</w:t>
      </w:r>
      <w:r>
        <w:rPr>
          <w:rFonts w:hint="eastAsia" w:ascii="宋体" w:hAnsi="宋体" w:eastAsia="宋体"/>
          <w:sz w:val="18"/>
        </w:rPr>
        <w:t>供</w:t>
      </w:r>
      <w:r>
        <w:rPr>
          <w:rFonts w:ascii="宋体" w:hAnsi="宋体" w:eastAsia="宋体"/>
          <w:sz w:val="18"/>
        </w:rPr>
        <w:t xml:space="preserve">货单位、废料名称、查验数量等，现场进行过磅，并派专人和供应商一同进行抽样，交由具备国家检测资质的独立第三方检测机构检测，并根据检测结果制作结算单，确定交易金额。未来，将采用工厂直购与个人供应商送货的双轨采购模式，以保证生产原料供给；针对熔盐渣、钕铁硼废料供应量较充足的区域，将建立部分收购点，专门负责该区域内稀土金属加工厂商、钕铁硼磁材加工生产厂商的废料收购。 </w:t>
      </w:r>
    </w:p>
    <w:p>
      <w:pPr>
        <w:spacing w:before="40" w:after="40"/>
        <w:ind w:firstLine="360" w:firstLineChars="200"/>
        <w:rPr>
          <w:rFonts w:ascii="宋体" w:hAnsi="宋体" w:eastAsia="宋体"/>
          <w:sz w:val="18"/>
        </w:rPr>
      </w:pPr>
      <w:r>
        <w:rPr>
          <w:rFonts w:ascii="宋体" w:hAnsi="宋体" w:eastAsia="宋体"/>
          <w:sz w:val="18"/>
        </w:rPr>
        <w:t>②生产模式</w:t>
      </w:r>
    </w:p>
    <w:p>
      <w:pPr>
        <w:spacing w:before="40" w:after="40"/>
        <w:ind w:firstLine="360" w:firstLineChars="200"/>
        <w:rPr>
          <w:rFonts w:ascii="宋体" w:hAnsi="宋体" w:eastAsia="宋体"/>
          <w:sz w:val="18"/>
        </w:rPr>
      </w:pPr>
      <w:r>
        <w:rPr>
          <w:rFonts w:ascii="宋体" w:hAnsi="宋体" w:eastAsia="宋体"/>
          <w:sz w:val="18"/>
        </w:rPr>
        <w:t>天和永磁目前所拥有的生产管理团队具有丰富的稀土产业生产经验。生产计划由总经理和经营部、生产部共同制定，并下发给工厂各个车间。质检、化验贯穿废料回收利用生产工艺中的每一个环节，以确保各个环节的生产质量均符合相应标准。与此同时，天和永磁还承接部分外加工业务，并根据实际情况选择委外加工或自行生产，通过自产、委外加工等形式，更好地保障公司生产结构的合理性及效率最大化。</w:t>
      </w:r>
    </w:p>
    <w:p>
      <w:pPr>
        <w:spacing w:before="40" w:after="40"/>
        <w:ind w:firstLine="360" w:firstLineChars="200"/>
        <w:rPr>
          <w:rFonts w:ascii="宋体" w:hAnsi="宋体" w:eastAsia="宋体"/>
          <w:sz w:val="18"/>
        </w:rPr>
      </w:pPr>
      <w:r>
        <w:rPr>
          <w:rFonts w:ascii="宋体" w:hAnsi="宋体" w:eastAsia="宋体"/>
          <w:sz w:val="18"/>
        </w:rPr>
        <w:t>③销售模式</w:t>
      </w:r>
    </w:p>
    <w:p>
      <w:pPr>
        <w:spacing w:before="40" w:after="40"/>
        <w:ind w:firstLine="360" w:firstLineChars="200"/>
        <w:rPr>
          <w:rFonts w:ascii="宋体" w:hAnsi="宋体" w:eastAsia="宋体"/>
          <w:sz w:val="18"/>
        </w:rPr>
      </w:pPr>
      <w:r>
        <w:rPr>
          <w:rFonts w:ascii="宋体" w:hAnsi="宋体" w:eastAsia="宋体"/>
          <w:sz w:val="18"/>
        </w:rPr>
        <w:t xml:space="preserve">天和永磁主要采取直接销售的模式，面向金属加工企业和永磁材料生产企业销售相关产品。天和永磁的产品在业内具有一定知名度，随着整个永磁材料市场的转暖，产品整体供不应求，谈判过程中处于优势地位，绝大多数客户需采取预付款的形式签订订单。稀土产品的销售价格主要受到原材料价格以及下游磁材市场需求关系的影响。现已建立了完善的售后服务和跟踪反馈机制，由经营部的员工实时对接客户企业，收集反馈信息，针对客户的需求和意见与研发部合作迅速做出改进。 </w:t>
      </w:r>
    </w:p>
    <w:p>
      <w:pPr>
        <w:spacing w:before="40" w:after="40"/>
        <w:ind w:firstLine="360" w:firstLineChars="200"/>
        <w:rPr>
          <w:rFonts w:ascii="宋体" w:hAnsi="宋体" w:eastAsia="宋体"/>
          <w:sz w:val="18"/>
        </w:rPr>
      </w:pPr>
      <w:r>
        <w:rPr>
          <w:rFonts w:ascii="宋体" w:hAnsi="宋体" w:eastAsia="宋体"/>
          <w:sz w:val="18"/>
        </w:rPr>
        <w:t>④研发模式</w:t>
      </w:r>
    </w:p>
    <w:p>
      <w:pPr>
        <w:spacing w:before="40" w:after="40"/>
        <w:ind w:firstLine="360" w:firstLineChars="200"/>
        <w:rPr>
          <w:rFonts w:ascii="宋体" w:hAnsi="宋体" w:eastAsia="宋体"/>
          <w:sz w:val="18"/>
        </w:rPr>
      </w:pPr>
      <w:r>
        <w:rPr>
          <w:rFonts w:ascii="宋体" w:hAnsi="宋体" w:eastAsia="宋体"/>
          <w:sz w:val="18"/>
        </w:rPr>
        <w:t>天和永磁始终坚持科技领先，不断推陈出新，开发新产品，完善生产工艺，提高产品质量，以优质的产品、良好的信誉，适应市场的动态变化。管理团队、业务人员、技术人员根据客户及行业需求及时反馈市场信息或者研发部主动提出立项申请，制定年度研发计划和费用投入预算。研发项目由总经理批准后正式进入研发环节，研发过程中同时交由使用部门进行试用、试产。</w:t>
      </w:r>
    </w:p>
    <w:p>
      <w:pPr>
        <w:spacing w:before="40" w:after="40"/>
        <w:ind w:firstLine="360"/>
        <w:jc w:val="both"/>
        <w:rPr>
          <w:rFonts w:ascii="宋体" w:hAnsi="宋体" w:eastAsia="宋体"/>
          <w:b/>
          <w:sz w:val="18"/>
        </w:rPr>
      </w:pPr>
    </w:p>
    <w:p>
      <w:pPr>
        <w:spacing w:before="40" w:after="40"/>
        <w:ind w:firstLine="360"/>
        <w:jc w:val="both"/>
        <w:rPr>
          <w:rFonts w:ascii="宋体" w:hAnsi="宋体" w:eastAsia="宋体"/>
        </w:rPr>
      </w:pPr>
      <w:r>
        <w:rPr>
          <w:rFonts w:hint="eastAsia" w:ascii="宋体" w:hAnsi="宋体" w:eastAsia="宋体"/>
          <w:b/>
          <w:sz w:val="18"/>
        </w:rPr>
        <w:t>4、</w:t>
      </w:r>
      <w:r>
        <w:rPr>
          <w:rFonts w:ascii="宋体" w:hAnsi="宋体" w:eastAsia="宋体"/>
          <w:b/>
          <w:sz w:val="18"/>
        </w:rPr>
        <w:t>公司产品的市场地位</w:t>
      </w:r>
    </w:p>
    <w:p>
      <w:pPr>
        <w:spacing w:before="40" w:after="40"/>
        <w:ind w:firstLine="360" w:firstLineChars="200"/>
        <w:rPr>
          <w:rFonts w:ascii="宋体" w:hAnsi="宋体" w:eastAsia="宋体"/>
          <w:sz w:val="18"/>
        </w:rPr>
      </w:pPr>
      <w:r>
        <w:rPr>
          <w:rFonts w:ascii="宋体" w:hAnsi="宋体" w:eastAsia="宋体"/>
          <w:sz w:val="18"/>
        </w:rPr>
        <w:t>智慧计量的主要产品是水表和水务管理软件。水表涵盖了机械水表和智能水表两大类，产品口径从15mm-300mm不等。机械水表可以分为速度式和容积式水表两种类型，智能水表则包括NB-IoT物联网水表、超声波水表、电磁水表、无线远传LoRa水表、智能卡式水表、光电直读水表等多种类型，能够充分满足客户多样化的需求。2022年，公司产品的总体市场占有率约为10%，充分反映了公司产品的市场竞争力；公司控股子公司三川国德自主研发设计的云智联平台，是公司主要的智慧水务产品，上述产品现已覆盖用水用户5000万+，服务超过300+水务公司。智慧水务云平台兼容不同类型、厂商、协议的水表，消除烟囱式系统和数据孤岛，帮助水司实现生产调度（水质管理、二次供水、水厂工艺实时监测）、客服营销（智能抄表和收费系统）、运营管理（GIS系统、外勤系统、工程管理）和定量控漏（DMA分区计量、渗漏预警管理、压力调控管理）四大功能。此外，公司的创新产品--不锈钢水表，能够有效地避免对水质的二次污染，并可循环利用，同时水表表壳采用锻压拉伸和焊接法，相对于铸造更加节能环保。</w:t>
      </w:r>
    </w:p>
    <w:p>
      <w:pPr>
        <w:spacing w:before="40" w:after="40"/>
        <w:ind w:firstLine="360" w:firstLineChars="200"/>
        <w:rPr>
          <w:rFonts w:ascii="宋体" w:hAnsi="宋体" w:eastAsia="宋体"/>
          <w:sz w:val="18"/>
        </w:rPr>
      </w:pPr>
      <w:r>
        <w:rPr>
          <w:rFonts w:hint="eastAsia" w:ascii="宋体" w:hAnsi="宋体" w:eastAsia="宋体"/>
          <w:sz w:val="18"/>
        </w:rPr>
        <w:t>稀土资源回收利用主要是通过采取先进的酸法工艺和碱转</w:t>
      </w:r>
      <w:r>
        <w:rPr>
          <w:rFonts w:ascii="宋体" w:hAnsi="宋体" w:eastAsia="宋体"/>
          <w:sz w:val="18"/>
        </w:rPr>
        <w:t>-酸溶联合工艺，高效处理钕铁硼废料和熔盐渣，生产氧化镨钕、氧化镝、氧化铽、氧化钆、氧化钬等稀土氧化物，其中氧化镨钕为主要产品。</w:t>
      </w:r>
    </w:p>
    <w:p>
      <w:pPr>
        <w:spacing w:before="40" w:after="40"/>
        <w:ind w:firstLine="360"/>
        <w:jc w:val="both"/>
        <w:rPr>
          <w:rFonts w:ascii="宋体" w:hAnsi="宋体" w:eastAsia="宋体"/>
          <w:b/>
          <w:sz w:val="18"/>
        </w:rPr>
      </w:pPr>
    </w:p>
    <w:p>
      <w:pPr>
        <w:spacing w:before="40" w:after="40"/>
        <w:ind w:firstLine="360"/>
        <w:jc w:val="both"/>
        <w:rPr>
          <w:rFonts w:ascii="宋体" w:hAnsi="宋体" w:eastAsia="宋体"/>
        </w:rPr>
      </w:pPr>
      <w:r>
        <w:rPr>
          <w:rFonts w:hint="eastAsia" w:ascii="宋体" w:hAnsi="宋体" w:eastAsia="宋体"/>
          <w:b/>
          <w:sz w:val="18"/>
        </w:rPr>
        <w:t>5、</w:t>
      </w:r>
      <w:r>
        <w:rPr>
          <w:rFonts w:ascii="宋体" w:hAnsi="宋体" w:eastAsia="宋体"/>
          <w:b/>
          <w:sz w:val="18"/>
        </w:rPr>
        <w:t>主要的业绩驱动因素</w:t>
      </w:r>
    </w:p>
    <w:p>
      <w:pPr>
        <w:spacing w:before="40" w:after="40"/>
        <w:ind w:firstLine="360" w:firstLineChars="200"/>
        <w:rPr>
          <w:rFonts w:ascii="宋体" w:hAnsi="宋体" w:eastAsia="宋体"/>
          <w:sz w:val="18"/>
        </w:rPr>
      </w:pPr>
      <w:r>
        <w:rPr>
          <w:rFonts w:ascii="宋体" w:hAnsi="宋体" w:eastAsia="宋体"/>
          <w:sz w:val="18"/>
        </w:rPr>
        <w:t>报告期内，由于国家推进新型城镇化、智慧城市与节水城市建设，实施阶梯水价、加强民用“三表”管理以及加快5G、物联网等新型基础设施建设与应用等多重政策叠加，推动了智能水表需求增长。公司积极把握移动互联网、NB-IoT窄带物联网的发展机遇，充分利用在行业内率先研发、生产、销售NB-IoT物联网水表的先发优势和大规模商用的示范效应，大力拓展NB-IoT物联网水表的应用，促进了公司业绩增长。</w:t>
      </w:r>
    </w:p>
    <w:p>
      <w:pPr>
        <w:spacing w:before="40" w:after="40"/>
        <w:ind w:firstLine="360" w:firstLineChars="200"/>
        <w:rPr>
          <w:rFonts w:ascii="宋体" w:hAnsi="宋体" w:eastAsia="宋体"/>
          <w:sz w:val="18"/>
        </w:rPr>
      </w:pPr>
      <w:r>
        <w:rPr>
          <w:rFonts w:ascii="宋体" w:hAnsi="宋体" w:eastAsia="宋体"/>
          <w:sz w:val="18"/>
        </w:rPr>
        <w:t>与此同时，公司立足于水务行业发展需求，持续加大研发投入，不断完善智慧水务管理系统与平台功能，进一步提升智慧水务产品的技术含量和附加值。同时，以鹰潭供水的“一体两翼”样板为典型示范案例，加大宣传推广力度，积极推进智慧水务一体化项目的实施，在协助水务公司规范内部管理、节能降耗、提升企业经济效益的同时，突出和显现社会效益。报告期内，公司智慧水务管理软件的业务收入稳步增长，形成了良好发展态势。</w:t>
      </w:r>
    </w:p>
    <w:p>
      <w:pPr>
        <w:spacing w:before="40" w:after="40"/>
        <w:ind w:firstLine="360" w:firstLineChars="200"/>
        <w:rPr>
          <w:rFonts w:ascii="宋体" w:hAnsi="宋体" w:eastAsia="宋体"/>
          <w:sz w:val="18"/>
        </w:rPr>
      </w:pPr>
      <w:r>
        <w:rPr>
          <w:rFonts w:hint="eastAsia" w:ascii="宋体" w:hAnsi="宋体" w:eastAsia="宋体"/>
          <w:sz w:val="18"/>
        </w:rPr>
        <w:t>在</w:t>
      </w:r>
      <w:r>
        <w:rPr>
          <w:rFonts w:ascii="宋体" w:hAnsi="宋体" w:eastAsia="宋体"/>
          <w:sz w:val="18"/>
        </w:rPr>
        <w:t>稀土资源回收利用行业，随着国内“双碳”政策的持续推进，以钕铁硼为代表的稀土永磁材料市场需求不断提升，而供给端受国内稀土开采、</w:t>
      </w:r>
      <w:r>
        <w:rPr>
          <w:rFonts w:hint="eastAsia" w:ascii="宋体" w:hAnsi="宋体" w:eastAsia="宋体"/>
          <w:sz w:val="18"/>
        </w:rPr>
        <w:t>冶炼</w:t>
      </w:r>
      <w:r>
        <w:rPr>
          <w:rFonts w:ascii="宋体" w:hAnsi="宋体" w:eastAsia="宋体"/>
          <w:sz w:val="18"/>
        </w:rPr>
        <w:t>分离总量指标控制及海外资源的获取存在着不确定性，供给与需求矛盾突出，稀土</w:t>
      </w:r>
      <w:r>
        <w:rPr>
          <w:rFonts w:hint="eastAsia" w:ascii="宋体" w:hAnsi="宋体" w:eastAsia="宋体"/>
          <w:sz w:val="18"/>
        </w:rPr>
        <w:t>氧化物</w:t>
      </w:r>
      <w:r>
        <w:rPr>
          <w:rFonts w:ascii="宋体" w:hAnsi="宋体" w:eastAsia="宋体"/>
          <w:sz w:val="18"/>
        </w:rPr>
        <w:t>的价格持续震荡走高。公司控股子公司天和永磁因产品收率高，同时还是行业内少数具备熔盐渣处理能力的企业，能够获得更高的综合收益。</w:t>
      </w:r>
    </w:p>
    <w:p>
      <w:pPr>
        <w:pStyle w:val="3"/>
        <w:spacing w:before="300" w:after="300" w:line="320" w:lineRule="exact"/>
        <w:rPr>
          <w:rFonts w:ascii="宋体" w:hAnsi="宋体" w:eastAsia="宋体" w:cs="宋体"/>
          <w:b/>
          <w:bCs/>
          <w:sz w:val="24"/>
          <w:szCs w:val="24"/>
        </w:rPr>
      </w:pPr>
      <w:bookmarkStart w:id="17" w:name="_Toc988904"/>
      <w:r>
        <w:rPr>
          <w:rFonts w:ascii="宋体" w:hAnsi="宋体" w:eastAsia="宋体" w:cs="宋体"/>
          <w:b/>
          <w:bCs/>
          <w:sz w:val="24"/>
          <w:szCs w:val="24"/>
        </w:rPr>
        <w:t>三、核心竞争力分析</w:t>
      </w:r>
      <w:bookmarkEnd w:id="17"/>
    </w:p>
    <w:p>
      <w:pPr>
        <w:spacing w:before="40" w:after="40"/>
        <w:ind w:firstLine="360" w:firstLineChars="200"/>
        <w:rPr>
          <w:rFonts w:ascii="宋体" w:hAnsi="宋体" w:eastAsia="宋体"/>
          <w:sz w:val="18"/>
        </w:rPr>
      </w:pPr>
      <w:r>
        <w:rPr>
          <w:rFonts w:hint="eastAsia" w:ascii="宋体" w:hAnsi="宋体" w:eastAsia="宋体"/>
          <w:sz w:val="18"/>
        </w:rPr>
        <w:t>公司以科学用水、健康饮水为使命，以涉水的相关产业链为发展目标，以物联网和大数据技术为载体，积极构建综合性的智慧水务数据云平台，为供水企业乃至整个城市提供包括用水计量、管网监控、产销差管理、水资源监测、水质检测在内的水务运营整体解决方案，致力成为世界领先的水计量功能服务商、智慧水务整体解决方案提供商和行业物联网数据服务型企业。</w:t>
      </w:r>
    </w:p>
    <w:p>
      <w:pPr>
        <w:spacing w:before="40" w:after="40"/>
        <w:ind w:firstLine="360" w:firstLineChars="200"/>
        <w:rPr>
          <w:rFonts w:ascii="宋体" w:hAnsi="宋体" w:eastAsia="宋体"/>
          <w:sz w:val="18"/>
        </w:rPr>
      </w:pPr>
      <w:r>
        <w:rPr>
          <w:rFonts w:hint="eastAsia" w:ascii="宋体" w:hAnsi="宋体" w:eastAsia="宋体"/>
          <w:sz w:val="18"/>
        </w:rPr>
        <w:t>在智慧计量领域，公司深耕行业数十年，形成了自身的独特优势和核心竞争力。与行业内其他企业比较，公司具有技术创新能力强、品牌知名度高、市场覆盖面广、营销网络全、产销规模大等突出优势，具有较高的行业和市场地位。在稀土资源回收利用领域，天和永磁产品收率达到96%，高于行业</w:t>
      </w:r>
      <w:r>
        <w:rPr>
          <w:rFonts w:ascii="宋体" w:hAnsi="宋体" w:eastAsia="宋体"/>
          <w:sz w:val="18"/>
        </w:rPr>
        <w:t>93-94%</w:t>
      </w:r>
      <w:r>
        <w:rPr>
          <w:rFonts w:hint="eastAsia" w:ascii="宋体" w:hAnsi="宋体" w:eastAsia="宋体"/>
          <w:sz w:val="18"/>
        </w:rPr>
        <w:t>的平均水平，同时天和永磁还是行业内少数具备熔盐渣处理能力的企业，整体技术实力和储备位居行业前列。</w:t>
      </w:r>
    </w:p>
    <w:p>
      <w:pPr>
        <w:pStyle w:val="11"/>
        <w:spacing w:before="40" w:beforeAutospacing="0" w:after="40" w:afterAutospacing="0"/>
        <w:ind w:firstLine="361"/>
        <w:rPr>
          <w:rStyle w:val="16"/>
          <w:sz w:val="18"/>
          <w:szCs w:val="18"/>
        </w:rPr>
      </w:pPr>
    </w:p>
    <w:p>
      <w:pPr>
        <w:pStyle w:val="11"/>
        <w:spacing w:before="40" w:beforeAutospacing="0" w:after="40" w:afterAutospacing="0"/>
        <w:ind w:firstLine="361"/>
      </w:pPr>
      <w:r>
        <w:rPr>
          <w:rStyle w:val="16"/>
          <w:rFonts w:hint="eastAsia"/>
          <w:sz w:val="18"/>
          <w:szCs w:val="18"/>
        </w:rPr>
        <w:t>1、技术创新优势 </w:t>
      </w:r>
    </w:p>
    <w:p>
      <w:pPr>
        <w:spacing w:before="40" w:after="40"/>
        <w:ind w:firstLine="360" w:firstLineChars="200"/>
        <w:rPr>
          <w:rFonts w:ascii="宋体" w:hAnsi="宋体" w:eastAsia="宋体"/>
          <w:sz w:val="18"/>
        </w:rPr>
      </w:pPr>
      <w:r>
        <w:rPr>
          <w:rFonts w:hint="eastAsia" w:ascii="宋体" w:hAnsi="宋体" w:eastAsia="宋体"/>
          <w:sz w:val="18"/>
        </w:rPr>
        <w:t>公司主要经营理念是技术驱动，始终把技术创新、技术进步作为推动企业发展的动力和手段，坚持走自主创新与产学研合作相结合的技术发展道路，高度重视技术研发体系建设，注重技术研发投入和综合研发实力的提升。截至报告期末，公司拥有技术研发人员</w:t>
      </w:r>
      <w:r>
        <w:rPr>
          <w:rFonts w:ascii="宋体" w:hAnsi="宋体" w:eastAsia="宋体"/>
          <w:sz w:val="18"/>
        </w:rPr>
        <w:t>300</w:t>
      </w:r>
      <w:r>
        <w:rPr>
          <w:rFonts w:hint="eastAsia" w:ascii="宋体" w:hAnsi="宋体" w:eastAsia="宋体"/>
          <w:sz w:val="18"/>
        </w:rPr>
        <w:t>余人，打造了一支集硬件研发、智能控制、软件开发及网络、通信技术于一体的综合性研发团队，为公司持续保持技术创新优势、促进科研成果转化奠定了基础。报告期内，公司新增专利</w:t>
      </w:r>
      <w:r>
        <w:rPr>
          <w:rFonts w:ascii="宋体" w:hAnsi="宋体" w:eastAsia="宋体"/>
          <w:sz w:val="18"/>
        </w:rPr>
        <w:t>65</w:t>
      </w:r>
      <w:r>
        <w:rPr>
          <w:rFonts w:hint="eastAsia" w:ascii="宋体" w:hAnsi="宋体" w:eastAsia="宋体"/>
          <w:sz w:val="18"/>
        </w:rPr>
        <w:t>项，其中发明专利</w:t>
      </w:r>
      <w:r>
        <w:rPr>
          <w:rFonts w:ascii="宋体" w:hAnsi="宋体" w:eastAsia="宋体"/>
          <w:sz w:val="18"/>
        </w:rPr>
        <w:t>2</w:t>
      </w:r>
      <w:r>
        <w:rPr>
          <w:rFonts w:hint="eastAsia" w:ascii="宋体" w:hAnsi="宋体" w:eastAsia="宋体"/>
          <w:sz w:val="18"/>
        </w:rPr>
        <w:t>项、实用新型专利</w:t>
      </w:r>
      <w:r>
        <w:rPr>
          <w:rFonts w:ascii="宋体" w:hAnsi="宋体" w:eastAsia="宋体"/>
          <w:sz w:val="18"/>
        </w:rPr>
        <w:t>60</w:t>
      </w:r>
      <w:r>
        <w:rPr>
          <w:rFonts w:hint="eastAsia" w:ascii="宋体" w:hAnsi="宋体" w:eastAsia="宋体"/>
          <w:sz w:val="18"/>
        </w:rPr>
        <w:t>项、外观设计专利</w:t>
      </w:r>
      <w:r>
        <w:rPr>
          <w:rFonts w:ascii="宋体" w:hAnsi="宋体" w:eastAsia="宋体"/>
          <w:sz w:val="18"/>
        </w:rPr>
        <w:t>3</w:t>
      </w:r>
      <w:r>
        <w:rPr>
          <w:rFonts w:hint="eastAsia" w:ascii="宋体" w:hAnsi="宋体" w:eastAsia="宋体"/>
          <w:sz w:val="18"/>
        </w:rPr>
        <w:t>项；新增计算机软件著作权</w:t>
      </w:r>
      <w:r>
        <w:rPr>
          <w:rFonts w:ascii="宋体" w:hAnsi="宋体" w:eastAsia="宋体"/>
          <w:sz w:val="18"/>
        </w:rPr>
        <w:t>33</w:t>
      </w:r>
      <w:r>
        <w:rPr>
          <w:rFonts w:hint="eastAsia" w:ascii="宋体" w:hAnsi="宋体" w:eastAsia="宋体"/>
          <w:sz w:val="18"/>
        </w:rPr>
        <w:t>项。截至报告期末，公司共计拥有有效专利413项（其中甬岭水表79项、天和永磁16项），其中发明专利33项（其中甬岭水表9项），拥有软件著作权371项（其中三川国德50项、甬岭水表11项）；参与起草、修订国家或行业标准共计</w:t>
      </w:r>
      <w:r>
        <w:rPr>
          <w:rFonts w:ascii="宋体" w:hAnsi="宋体" w:eastAsia="宋体"/>
          <w:sz w:val="18"/>
        </w:rPr>
        <w:t>43</w:t>
      </w:r>
      <w:r>
        <w:rPr>
          <w:rFonts w:hint="eastAsia" w:ascii="宋体" w:hAnsi="宋体" w:eastAsia="宋体"/>
          <w:sz w:val="18"/>
        </w:rPr>
        <w:t>项。</w:t>
      </w:r>
    </w:p>
    <w:p>
      <w:pPr>
        <w:spacing w:before="40" w:after="40"/>
        <w:ind w:firstLine="360" w:firstLineChars="200"/>
        <w:rPr>
          <w:rFonts w:ascii="宋体" w:hAnsi="宋体" w:eastAsia="宋体"/>
          <w:sz w:val="18"/>
        </w:rPr>
      </w:pPr>
      <w:r>
        <w:rPr>
          <w:rFonts w:hint="eastAsia" w:ascii="宋体" w:hAnsi="宋体" w:eastAsia="宋体"/>
          <w:sz w:val="18"/>
        </w:rPr>
        <w:t>报告期内，公司新增专利与软件著作权具体如下：</w:t>
      </w:r>
    </w:p>
    <w:p>
      <w:pPr>
        <w:pStyle w:val="11"/>
        <w:spacing w:before="0" w:beforeAutospacing="0" w:after="0" w:afterAutospacing="0"/>
        <w:rPr>
          <w:rFonts w:ascii="等线" w:hAnsi="等线" w:eastAsia="等线"/>
          <w:sz w:val="21"/>
          <w:szCs w:val="21"/>
        </w:rPr>
      </w:pPr>
      <w:r>
        <w:rPr>
          <w:rFonts w:hint="eastAsia"/>
          <w:sz w:val="18"/>
          <w:szCs w:val="18"/>
        </w:rPr>
        <w:t>（一）新增专利</w:t>
      </w:r>
    </w:p>
    <w:tbl>
      <w:tblPr>
        <w:tblStyle w:val="13"/>
        <w:tblW w:w="5000" w:type="pct"/>
        <w:jc w:val="center"/>
        <w:tblLayout w:type="autofit"/>
        <w:tblCellMar>
          <w:top w:w="0" w:type="dxa"/>
          <w:left w:w="0" w:type="dxa"/>
          <w:bottom w:w="0" w:type="dxa"/>
          <w:right w:w="0" w:type="dxa"/>
        </w:tblCellMar>
      </w:tblPr>
      <w:tblGrid>
        <w:gridCol w:w="597"/>
        <w:gridCol w:w="2907"/>
        <w:gridCol w:w="1708"/>
        <w:gridCol w:w="1094"/>
        <w:gridCol w:w="2284"/>
        <w:gridCol w:w="1067"/>
      </w:tblGrid>
      <w:tr>
        <w:tblPrEx>
          <w:tblCellMar>
            <w:top w:w="0" w:type="dxa"/>
            <w:left w:w="0" w:type="dxa"/>
            <w:bottom w:w="0" w:type="dxa"/>
            <w:right w:w="0" w:type="dxa"/>
          </w:tblCellMar>
        </w:tblPrEx>
        <w:trPr>
          <w:jc w:val="center"/>
        </w:trPr>
        <w:tc>
          <w:tcPr>
            <w:tcW w:w="309" w:type="pct"/>
            <w:tcBorders>
              <w:top w:val="single" w:color="auto" w:sz="8" w:space="0"/>
              <w:left w:val="single" w:color="auto" w:sz="8" w:space="0"/>
              <w:bottom w:val="single" w:color="auto" w:sz="8" w:space="0"/>
              <w:right w:val="single" w:color="auto" w:sz="8" w:space="0"/>
            </w:tcBorders>
            <w:shd w:val="clear" w:color="auto" w:fill="D0CECE"/>
            <w:tcMar>
              <w:top w:w="10" w:type="dxa"/>
              <w:left w:w="10" w:type="dxa"/>
              <w:bottom w:w="10" w:type="dxa"/>
              <w:right w:w="10" w:type="dxa"/>
            </w:tcMar>
            <w:vAlign w:val="center"/>
          </w:tcPr>
          <w:p>
            <w:pPr>
              <w:pStyle w:val="11"/>
              <w:spacing w:before="40" w:beforeAutospacing="0" w:after="40" w:afterAutospacing="0"/>
              <w:jc w:val="center"/>
              <w:rPr>
                <w:sz w:val="18"/>
                <w:szCs w:val="18"/>
              </w:rPr>
            </w:pPr>
            <w:r>
              <w:rPr>
                <w:rStyle w:val="16"/>
                <w:rFonts w:hint="eastAsia"/>
                <w:color w:val="000000"/>
                <w:sz w:val="18"/>
                <w:szCs w:val="18"/>
              </w:rPr>
              <w:t>序号</w:t>
            </w:r>
          </w:p>
        </w:tc>
        <w:tc>
          <w:tcPr>
            <w:tcW w:w="1504" w:type="pct"/>
            <w:tcBorders>
              <w:top w:val="single" w:color="auto" w:sz="8" w:space="0"/>
              <w:left w:val="nil"/>
              <w:bottom w:val="single" w:color="auto" w:sz="8" w:space="0"/>
              <w:right w:val="single" w:color="auto" w:sz="8" w:space="0"/>
            </w:tcBorders>
            <w:shd w:val="clear" w:color="auto" w:fill="D0CECE"/>
            <w:tcMar>
              <w:top w:w="10" w:type="dxa"/>
              <w:left w:w="10" w:type="dxa"/>
              <w:bottom w:w="10" w:type="dxa"/>
              <w:right w:w="10" w:type="dxa"/>
            </w:tcMar>
            <w:vAlign w:val="center"/>
          </w:tcPr>
          <w:p>
            <w:pPr>
              <w:pStyle w:val="11"/>
              <w:spacing w:before="40" w:beforeAutospacing="0" w:after="40" w:afterAutospacing="0"/>
              <w:jc w:val="center"/>
              <w:rPr>
                <w:sz w:val="18"/>
                <w:szCs w:val="18"/>
              </w:rPr>
            </w:pPr>
            <w:r>
              <w:rPr>
                <w:rStyle w:val="16"/>
                <w:rFonts w:hint="eastAsia"/>
                <w:color w:val="000000"/>
                <w:sz w:val="18"/>
                <w:szCs w:val="18"/>
              </w:rPr>
              <w:t>专利名称</w:t>
            </w:r>
          </w:p>
        </w:tc>
        <w:tc>
          <w:tcPr>
            <w:tcW w:w="884" w:type="pct"/>
            <w:tcBorders>
              <w:top w:val="single" w:color="auto" w:sz="8" w:space="0"/>
              <w:left w:val="nil"/>
              <w:bottom w:val="single" w:color="auto" w:sz="8" w:space="0"/>
              <w:right w:val="single" w:color="auto" w:sz="8" w:space="0"/>
            </w:tcBorders>
            <w:shd w:val="clear" w:color="auto" w:fill="D0CECE"/>
            <w:tcMar>
              <w:top w:w="10" w:type="dxa"/>
              <w:left w:w="10" w:type="dxa"/>
              <w:bottom w:w="10" w:type="dxa"/>
              <w:right w:w="10" w:type="dxa"/>
            </w:tcMar>
            <w:vAlign w:val="center"/>
          </w:tcPr>
          <w:p>
            <w:pPr>
              <w:pStyle w:val="11"/>
              <w:spacing w:before="40" w:beforeAutospacing="0" w:after="40" w:afterAutospacing="0"/>
              <w:jc w:val="center"/>
              <w:rPr>
                <w:sz w:val="18"/>
                <w:szCs w:val="18"/>
              </w:rPr>
            </w:pPr>
            <w:r>
              <w:rPr>
                <w:rStyle w:val="16"/>
                <w:rFonts w:hint="eastAsia"/>
                <w:color w:val="000000"/>
                <w:sz w:val="18"/>
                <w:szCs w:val="18"/>
              </w:rPr>
              <w:t>专利号</w:t>
            </w:r>
          </w:p>
        </w:tc>
        <w:tc>
          <w:tcPr>
            <w:tcW w:w="566" w:type="pct"/>
            <w:tcBorders>
              <w:top w:val="single" w:color="auto" w:sz="8" w:space="0"/>
              <w:left w:val="nil"/>
              <w:bottom w:val="single" w:color="auto" w:sz="8" w:space="0"/>
              <w:right w:val="single" w:color="auto" w:sz="8" w:space="0"/>
            </w:tcBorders>
            <w:shd w:val="clear" w:color="auto" w:fill="D0CECE"/>
            <w:tcMar>
              <w:top w:w="10" w:type="dxa"/>
              <w:left w:w="10" w:type="dxa"/>
              <w:bottom w:w="10" w:type="dxa"/>
              <w:right w:w="10" w:type="dxa"/>
            </w:tcMar>
            <w:vAlign w:val="center"/>
          </w:tcPr>
          <w:p>
            <w:pPr>
              <w:pStyle w:val="11"/>
              <w:spacing w:before="40" w:beforeAutospacing="0" w:after="40" w:afterAutospacing="0"/>
              <w:jc w:val="center"/>
              <w:rPr>
                <w:sz w:val="18"/>
                <w:szCs w:val="18"/>
              </w:rPr>
            </w:pPr>
            <w:r>
              <w:rPr>
                <w:rStyle w:val="16"/>
                <w:rFonts w:hint="eastAsia"/>
                <w:color w:val="000000"/>
                <w:sz w:val="18"/>
                <w:szCs w:val="18"/>
              </w:rPr>
              <w:t>专利类型</w:t>
            </w:r>
          </w:p>
        </w:tc>
        <w:tc>
          <w:tcPr>
            <w:tcW w:w="1182" w:type="pct"/>
            <w:tcBorders>
              <w:top w:val="single" w:color="auto" w:sz="8" w:space="0"/>
              <w:left w:val="nil"/>
              <w:bottom w:val="single" w:color="auto" w:sz="8" w:space="0"/>
              <w:right w:val="single" w:color="auto" w:sz="8" w:space="0"/>
            </w:tcBorders>
            <w:shd w:val="clear" w:color="auto" w:fill="D0CECE"/>
            <w:tcMar>
              <w:top w:w="10" w:type="dxa"/>
              <w:left w:w="10" w:type="dxa"/>
              <w:bottom w:w="10" w:type="dxa"/>
              <w:right w:w="10" w:type="dxa"/>
            </w:tcMar>
            <w:vAlign w:val="center"/>
          </w:tcPr>
          <w:p>
            <w:pPr>
              <w:pStyle w:val="11"/>
              <w:spacing w:before="40" w:beforeAutospacing="0" w:after="40" w:afterAutospacing="0"/>
              <w:jc w:val="center"/>
              <w:rPr>
                <w:sz w:val="18"/>
                <w:szCs w:val="18"/>
              </w:rPr>
            </w:pPr>
            <w:r>
              <w:rPr>
                <w:rStyle w:val="16"/>
                <w:rFonts w:hint="eastAsia"/>
                <w:color w:val="000000"/>
                <w:sz w:val="18"/>
                <w:szCs w:val="18"/>
              </w:rPr>
              <w:t>专利保护期限</w:t>
            </w:r>
          </w:p>
        </w:tc>
        <w:tc>
          <w:tcPr>
            <w:tcW w:w="552" w:type="pct"/>
            <w:tcBorders>
              <w:top w:val="single" w:color="auto" w:sz="8" w:space="0"/>
              <w:left w:val="nil"/>
              <w:bottom w:val="single" w:color="auto" w:sz="8" w:space="0"/>
              <w:right w:val="single" w:color="auto" w:sz="8" w:space="0"/>
            </w:tcBorders>
            <w:shd w:val="clear" w:color="auto" w:fill="D0CECE"/>
            <w:tcMar>
              <w:top w:w="10" w:type="dxa"/>
              <w:left w:w="10" w:type="dxa"/>
              <w:bottom w:w="10" w:type="dxa"/>
              <w:right w:w="10" w:type="dxa"/>
            </w:tcMar>
            <w:vAlign w:val="center"/>
          </w:tcPr>
          <w:p>
            <w:pPr>
              <w:pStyle w:val="11"/>
              <w:spacing w:before="40" w:beforeAutospacing="0" w:after="40" w:afterAutospacing="0"/>
              <w:jc w:val="center"/>
              <w:rPr>
                <w:sz w:val="18"/>
                <w:szCs w:val="18"/>
              </w:rPr>
            </w:pPr>
            <w:r>
              <w:rPr>
                <w:rStyle w:val="16"/>
                <w:rFonts w:hint="eastAsia"/>
                <w:color w:val="000000"/>
                <w:sz w:val="18"/>
                <w:szCs w:val="18"/>
              </w:rPr>
              <w:t>著作权人</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w:t>
            </w:r>
            <w:r>
              <w:rPr>
                <w:rFonts w:cs="Times New Roman"/>
                <w:sz w:val="18"/>
                <w:szCs w:val="18"/>
              </w:rPr>
              <w:t>5G</w:t>
            </w:r>
            <w:r>
              <w:rPr>
                <w:rFonts w:hint="eastAsia"/>
                <w:sz w:val="18"/>
                <w:szCs w:val="18"/>
              </w:rPr>
              <w:t>网络频点接入方法</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ZL202011547698.0</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发明</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2020.12.24-2040.12.23</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一种水表自动设置机电同步的方法、装置、设备和介质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ZL202110616084.1</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发明</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2021.06.02-2041.06.01</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3</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一种能保障表度盘清晰的湿度水表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ZL202121079071.7</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2021.05.19-2031-05.18</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4</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一种阀控水表用的球阀</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ZL202121422026.7</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2021.06.24-2031.06.23</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5</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一种具有稳流功能的超声波水表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ZL202123232959.2</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2021.12.21-2031.12.20</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6</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一种防冻水表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ZL202123213771.3</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2021.12.20-2031.12.19</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7</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一种大口径防拆无磁水表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ZL202123213418.5</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2021.12.21-2031.12.20</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8</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一种不锈钢超声波水表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ZL202123212929.5</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2021.12.20-2031.12.19</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9</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一种防水性强的电磁水表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ZL202122242358.3</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2021.09.15-2031.09.14</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10</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一种大口径不锈钢超声波水表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ZL202123239301.4</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2021.12.21-2031.12.20</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11</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一种无需安装反射片的超声波水表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ZL202220076917.X</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2022.01.12-2032.01.11</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12</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一种简易式超声波水表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ZL202220103923.X</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2022.01.14-2032.01.13</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13</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一种防拆式超声波水表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ZL202220193076.0</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2022.01.24-2032.01.23</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14</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一种智能水表换向减速器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ZL202220023820.2</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2022.01.05-2032.01.04</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15</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一种智能水表用的防拆电池盒</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ZL202220077340.4</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2022.01.12-2032.01.11</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16</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一种具备双重保护功能的防冻水表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ZL202220361536.6</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2022.02.22-2032.02.21</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trHeight w:val="90" w:hRule="atLeast"/>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17</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一种立式无磁阀控水表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ZL202220177149.7</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2022.01.21-2032.01.20</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18</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一种便调式水表计量器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ZL202220177020.6</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2022.01.21-2032.01.20</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19</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一种防冻水表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ZL202220361539.X</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2022.02.22-2032.02.21</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w:t>
            </w:r>
            <w:r>
              <w:rPr>
                <w:rFonts w:cs="Times New Roman"/>
                <w:sz w:val="18"/>
                <w:szCs w:val="18"/>
              </w:rPr>
              <w:t>NB-IoT</w:t>
            </w:r>
            <w:r>
              <w:rPr>
                <w:rFonts w:hint="eastAsia"/>
                <w:sz w:val="18"/>
                <w:szCs w:val="18"/>
              </w:rPr>
              <w:t>无磁水表天线安装结构</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ZL202220452353.5</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2022.03.02-2032.03.01</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21</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一种超声波水表防拆电池仓</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ZL202220079543.7</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2022.01.12-2032.01.11</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22</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一种自带保护功能的检测水表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ZL202220631400.2</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2022.03.22-2032.03.21</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23</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一种便于自动生产的水表电子模块接插结构</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ZL202220769259.2</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2022.04.02-2032.04.01</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24</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一种具有保健功效的水表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ZL202220850952.2</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2022.04.13-2032.04.12</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25</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一种薄壁不锈钢水表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ZL202220851283.0</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2022.04.13-2032.04.12</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26</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一种大口径超声波水表用换能器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ZL202220896313.X</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2022.04.18-2032.04.17</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27</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一种防拆式无磁</w:t>
            </w:r>
            <w:r>
              <w:rPr>
                <w:rFonts w:cs="Times New Roman"/>
                <w:sz w:val="18"/>
                <w:szCs w:val="18"/>
              </w:rPr>
              <w:t>NB-IoT</w:t>
            </w:r>
            <w:r>
              <w:rPr>
                <w:rFonts w:hint="eastAsia"/>
                <w:sz w:val="18"/>
                <w:szCs w:val="18"/>
              </w:rPr>
              <w:t>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ZL202220997083.6</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2022.04.24-2032.04.23</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28</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一种湿式水表灌水装置</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ZL202220997111.4</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2022.04.24-2032.04.23</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29</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一种水表密封性检测装置</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ZL202220997155.7</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2022.04.27-2032.04.26</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30</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一种摄像远传水表用计数器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ZL202221098126.3</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2022.05.09-2032.05.08</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31</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一种防拆无磁工业水表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ZL202221137639.0</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2022.05.12-2032.05.11</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32</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一种水表装配用卡接装置</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ZL202221197969.9</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2022.05.18-2032.05.17</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33</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一种直筒口径式水表装配用卡座</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ZL202221198341.0</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2022.05.18-2032.05.17</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34</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一种超声波方管表壳</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ZL202220076920.1</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2022.01.12-2032.01.11</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35</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一种线路板老化自动化检测设备</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ZL202220997467.8</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2022.04.27-2032.04.26</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36</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一种提高计量灵敏度的干式水表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ZL202221098394.5</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2022.05.09-2032.05.08</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37</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一种口径上小下大式水表装配用卡座</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ZL202221197682.6</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2022.05.18-2032.05.17</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38</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一种超声波水表自锁式支架直管</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ZL202221509244.9</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2022.06.16-2032.06.15</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39</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一种新型超声波水表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ZL202221509718.X</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2022.06.16-2032.06.15</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40</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w:t>
            </w:r>
            <w:r>
              <w:rPr>
                <w:rFonts w:cs="Times New Roman"/>
                <w:sz w:val="18"/>
                <w:szCs w:val="18"/>
              </w:rPr>
              <w:t>U</w:t>
            </w:r>
            <w:r>
              <w:rPr>
                <w:rFonts w:hint="eastAsia"/>
                <w:sz w:val="18"/>
                <w:szCs w:val="18"/>
              </w:rPr>
              <w:t>型反射结构的超声水表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ZL202221944103.X</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2022.07.26-2032.07.25</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41</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一种凸筋配合自扣式水表盖</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ZL202221962518.X</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2022.07.26-2032.07.25</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42</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一种智能水表电池密封仓</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ZL202221944126.0</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2022.07.26-2032.07.25</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43</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一种超声波换能器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ZL202221944849.0</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2022.07.26-2032.07.25</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44</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一种可两次灌胶的插接电池</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ZL202221944859.4</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2022.07.26-2032.07.25</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45</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一种电磁水表的管路</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ZL202222130328.8</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2022.08.12-2032.08.11</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46</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一种防乱流的阀控水表表壳</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ZL202222130359.3</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2022.08.12-2032.08.11</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47</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一种无线表调试通讯结构</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ZL202222130629.0</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2022.08.12-2032.08.11</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48</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一种线路板模块老化检测装置</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ZL202220997151.9</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2022.04.27-2032.04.26</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49</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一种摄像远传湿式水表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ZL202221099058.2</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2022.05.09-2032.05.08</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50</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一种阀控水表用不锈钢接头</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ZL202221207353.5</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2022.05.19-2032.05.18</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51</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一种预付费无磁表刷卡提示装置</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ZL202221260270.2</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2022.05.24-2032.05.23</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52</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一种水表用换能器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ZL202221695284.7</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2022.07.04-2032.07.03</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53</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一种具有保护功能的检测水表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ZL202220630897.6</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2022.03.22-2032.03.21</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54</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一种水表自动化装配装置</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ZL202221260193.0</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2022.05.24-2032.05.23</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55</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超声波水表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ZL202230354486.4</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外观</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Calibri"/>
                <w:sz w:val="18"/>
                <w:szCs w:val="18"/>
              </w:rPr>
              <w:t>2022</w:t>
            </w:r>
            <w:r>
              <w:rPr>
                <w:rFonts w:cs="Times New Roman"/>
                <w:sz w:val="18"/>
                <w:szCs w:val="18"/>
              </w:rPr>
              <w:t>.</w:t>
            </w:r>
            <w:r>
              <w:rPr>
                <w:rFonts w:cs="Calibri"/>
                <w:sz w:val="18"/>
                <w:szCs w:val="18"/>
              </w:rPr>
              <w:t>06</w:t>
            </w:r>
            <w:r>
              <w:rPr>
                <w:rFonts w:cs="Times New Roman"/>
                <w:sz w:val="18"/>
                <w:szCs w:val="18"/>
              </w:rPr>
              <w:t>.</w:t>
            </w:r>
            <w:r>
              <w:rPr>
                <w:rFonts w:cs="Calibri"/>
                <w:sz w:val="18"/>
                <w:szCs w:val="18"/>
              </w:rPr>
              <w:t>10</w:t>
            </w:r>
            <w:r>
              <w:rPr>
                <w:rFonts w:cs="Times New Roman"/>
                <w:sz w:val="18"/>
                <w:szCs w:val="18"/>
              </w:rPr>
              <w:t>-2037.06.09</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56</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超声波水表（大口径）</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ZL202230354707.8</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外观</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Calibri"/>
                <w:sz w:val="18"/>
                <w:szCs w:val="18"/>
              </w:rPr>
              <w:t>2022</w:t>
            </w:r>
            <w:r>
              <w:rPr>
                <w:rFonts w:cs="Times New Roman"/>
                <w:sz w:val="18"/>
                <w:szCs w:val="18"/>
              </w:rPr>
              <w:t>.</w:t>
            </w:r>
            <w:r>
              <w:rPr>
                <w:rFonts w:cs="Calibri"/>
                <w:sz w:val="18"/>
                <w:szCs w:val="18"/>
              </w:rPr>
              <w:t>06</w:t>
            </w:r>
            <w:r>
              <w:rPr>
                <w:rFonts w:cs="Times New Roman"/>
                <w:sz w:val="18"/>
                <w:szCs w:val="18"/>
              </w:rPr>
              <w:t>.</w:t>
            </w:r>
            <w:r>
              <w:rPr>
                <w:rFonts w:cs="Calibri"/>
                <w:sz w:val="18"/>
                <w:szCs w:val="18"/>
              </w:rPr>
              <w:t>10</w:t>
            </w:r>
            <w:r>
              <w:rPr>
                <w:rFonts w:cs="Times New Roman"/>
                <w:sz w:val="18"/>
                <w:szCs w:val="18"/>
              </w:rPr>
              <w:t>-2037.06.09</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57</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一种水表计数器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ZL202122680208.0</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2021.11.03-2031.11.02</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甬岭水表</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58</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一种水表的转动结构</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ZL202122703266.0</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2021.11.03-2031.11.02</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甬岭水表</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59</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一种水表的叶轮盒</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ZL202122678857.7</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2021.11.03-2031.11.02</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甬岭水表</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60</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一种水表装配流水线的机械手</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ZL202123449484.2</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2021.12.30-2031.12.29</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甬岭水表</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61</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一种水表外罩的结构</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ZL202122676215.3</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2021.11.03-2031.11.02</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甬岭水表</w:t>
            </w:r>
          </w:p>
        </w:tc>
      </w:tr>
      <w:tr>
        <w:tblPrEx>
          <w:tblCellMar>
            <w:top w:w="0" w:type="dxa"/>
            <w:left w:w="0" w:type="dxa"/>
            <w:bottom w:w="0" w:type="dxa"/>
            <w:right w:w="0" w:type="dxa"/>
          </w:tblCellMar>
        </w:tblPrEx>
        <w:trPr>
          <w:trHeight w:val="674" w:hRule="atLeast"/>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62</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一种用于消防管道和水表连接的连接接头</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ZL202222172878.6</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2022.08.17-2032.08.16</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甬岭水表</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63</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ZL202222175702.6</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2022.08.17-2032.08.16</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甬岭水表</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64</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一种电子水表</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ZL202222171654.3</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实用新型</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2022.08.17-2032.08.16</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甬岭水表</w:t>
            </w:r>
          </w:p>
        </w:tc>
      </w:tr>
      <w:tr>
        <w:tblPrEx>
          <w:tblCellMar>
            <w:top w:w="0" w:type="dxa"/>
            <w:left w:w="0" w:type="dxa"/>
            <w:bottom w:w="0" w:type="dxa"/>
            <w:right w:w="0" w:type="dxa"/>
          </w:tblCellMar>
        </w:tblPrEx>
        <w:trPr>
          <w:jc w:val="center"/>
        </w:trPr>
        <w:tc>
          <w:tcPr>
            <w:tcW w:w="309"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65</w:t>
            </w:r>
          </w:p>
        </w:tc>
        <w:tc>
          <w:tcPr>
            <w:tcW w:w="15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水表计数器（</w:t>
            </w:r>
            <w:r>
              <w:rPr>
                <w:rFonts w:cs="Times New Roman"/>
                <w:sz w:val="18"/>
                <w:szCs w:val="18"/>
              </w:rPr>
              <w:t>15e5</w:t>
            </w:r>
            <w:r>
              <w:rPr>
                <w:rFonts w:hint="eastAsia"/>
                <w:sz w:val="18"/>
                <w:szCs w:val="18"/>
              </w:rPr>
              <w:t>斜面</w:t>
            </w:r>
            <w:r>
              <w:rPr>
                <w:rFonts w:cs="Times New Roman"/>
                <w:sz w:val="18"/>
                <w:szCs w:val="18"/>
              </w:rPr>
              <w:t>)</w:t>
            </w:r>
          </w:p>
        </w:tc>
        <w:tc>
          <w:tcPr>
            <w:tcW w:w="88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ZL202230290321.5</w:t>
            </w:r>
          </w:p>
        </w:tc>
        <w:tc>
          <w:tcPr>
            <w:tcW w:w="56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外观</w:t>
            </w:r>
          </w:p>
        </w:tc>
        <w:tc>
          <w:tcPr>
            <w:tcW w:w="118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2022.05.17-2037.05.16</w:t>
            </w:r>
          </w:p>
        </w:tc>
        <w:tc>
          <w:tcPr>
            <w:tcW w:w="55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甬岭水表</w:t>
            </w:r>
          </w:p>
        </w:tc>
      </w:tr>
    </w:tbl>
    <w:p>
      <w:pPr>
        <w:pStyle w:val="11"/>
        <w:spacing w:before="40" w:beforeAutospacing="0" w:after="40" w:afterAutospacing="0"/>
        <w:jc w:val="both"/>
      </w:pPr>
      <w:bookmarkStart w:id="456" w:name="_GoBack"/>
      <w:bookmarkEnd w:id="456"/>
      <w:r>
        <w:rPr>
          <w:rFonts w:hint="eastAsia"/>
          <w:sz w:val="18"/>
          <w:szCs w:val="18"/>
        </w:rPr>
        <w:t>（二）新增软件著作权</w:t>
      </w:r>
    </w:p>
    <w:tbl>
      <w:tblPr>
        <w:tblStyle w:val="13"/>
        <w:tblW w:w="5000" w:type="pct"/>
        <w:tblInd w:w="0" w:type="dxa"/>
        <w:tblLayout w:type="autofit"/>
        <w:tblCellMar>
          <w:top w:w="0" w:type="dxa"/>
          <w:left w:w="0" w:type="dxa"/>
          <w:bottom w:w="0" w:type="dxa"/>
          <w:right w:w="0" w:type="dxa"/>
        </w:tblCellMar>
      </w:tblPr>
      <w:tblGrid>
        <w:gridCol w:w="508"/>
        <w:gridCol w:w="3292"/>
        <w:gridCol w:w="1474"/>
        <w:gridCol w:w="1337"/>
        <w:gridCol w:w="2087"/>
        <w:gridCol w:w="959"/>
      </w:tblGrid>
      <w:tr>
        <w:tblPrEx>
          <w:tblCellMar>
            <w:top w:w="0" w:type="dxa"/>
            <w:left w:w="0" w:type="dxa"/>
            <w:bottom w:w="0" w:type="dxa"/>
            <w:right w:w="0" w:type="dxa"/>
          </w:tblCellMar>
        </w:tblPrEx>
        <w:tc>
          <w:tcPr>
            <w:tcW w:w="263" w:type="pct"/>
            <w:tcBorders>
              <w:top w:val="single" w:color="auto" w:sz="8" w:space="0"/>
              <w:left w:val="single" w:color="auto" w:sz="8" w:space="0"/>
              <w:bottom w:val="single" w:color="auto" w:sz="8" w:space="0"/>
              <w:right w:val="single" w:color="auto" w:sz="8" w:space="0"/>
            </w:tcBorders>
            <w:shd w:val="clear" w:color="auto" w:fill="D0CECE"/>
            <w:tcMar>
              <w:top w:w="10" w:type="dxa"/>
              <w:left w:w="10" w:type="dxa"/>
              <w:bottom w:w="10" w:type="dxa"/>
              <w:right w:w="10" w:type="dxa"/>
            </w:tcMar>
            <w:vAlign w:val="center"/>
          </w:tcPr>
          <w:p>
            <w:pPr>
              <w:pStyle w:val="11"/>
              <w:spacing w:before="40" w:beforeAutospacing="0" w:after="40" w:afterAutospacing="0"/>
              <w:jc w:val="center"/>
              <w:rPr>
                <w:sz w:val="18"/>
                <w:szCs w:val="18"/>
              </w:rPr>
            </w:pPr>
            <w:r>
              <w:rPr>
                <w:rStyle w:val="16"/>
                <w:rFonts w:hint="eastAsia"/>
                <w:color w:val="000000"/>
                <w:sz w:val="18"/>
                <w:szCs w:val="18"/>
              </w:rPr>
              <w:t>序号</w:t>
            </w:r>
          </w:p>
        </w:tc>
        <w:tc>
          <w:tcPr>
            <w:tcW w:w="1704" w:type="pct"/>
            <w:tcBorders>
              <w:top w:val="single" w:color="auto" w:sz="8" w:space="0"/>
              <w:left w:val="nil"/>
              <w:bottom w:val="single" w:color="auto" w:sz="8" w:space="0"/>
              <w:right w:val="single" w:color="auto" w:sz="8" w:space="0"/>
            </w:tcBorders>
            <w:shd w:val="clear" w:color="auto" w:fill="D0CECE"/>
            <w:tcMar>
              <w:top w:w="10" w:type="dxa"/>
              <w:left w:w="10" w:type="dxa"/>
              <w:bottom w:w="10" w:type="dxa"/>
              <w:right w:w="10" w:type="dxa"/>
            </w:tcMar>
            <w:vAlign w:val="center"/>
          </w:tcPr>
          <w:p>
            <w:pPr>
              <w:pStyle w:val="11"/>
              <w:spacing w:before="40" w:beforeAutospacing="0" w:after="40" w:afterAutospacing="0"/>
              <w:jc w:val="center"/>
              <w:rPr>
                <w:sz w:val="18"/>
                <w:szCs w:val="18"/>
              </w:rPr>
            </w:pPr>
            <w:r>
              <w:rPr>
                <w:rStyle w:val="16"/>
                <w:rFonts w:hint="eastAsia"/>
                <w:color w:val="000000"/>
                <w:sz w:val="18"/>
                <w:szCs w:val="18"/>
              </w:rPr>
              <w:t>软件名称</w:t>
            </w:r>
          </w:p>
        </w:tc>
        <w:tc>
          <w:tcPr>
            <w:tcW w:w="763" w:type="pct"/>
            <w:tcBorders>
              <w:top w:val="single" w:color="auto" w:sz="8" w:space="0"/>
              <w:left w:val="nil"/>
              <w:bottom w:val="single" w:color="auto" w:sz="8" w:space="0"/>
              <w:right w:val="single" w:color="auto" w:sz="8" w:space="0"/>
            </w:tcBorders>
            <w:shd w:val="clear" w:color="auto" w:fill="D0CECE"/>
            <w:tcMar>
              <w:top w:w="10" w:type="dxa"/>
              <w:left w:w="10" w:type="dxa"/>
              <w:bottom w:w="10" w:type="dxa"/>
              <w:right w:w="10" w:type="dxa"/>
            </w:tcMar>
            <w:vAlign w:val="center"/>
          </w:tcPr>
          <w:p>
            <w:pPr>
              <w:pStyle w:val="11"/>
              <w:spacing w:before="40" w:beforeAutospacing="0" w:after="40" w:afterAutospacing="0"/>
              <w:jc w:val="center"/>
              <w:rPr>
                <w:sz w:val="18"/>
                <w:szCs w:val="18"/>
              </w:rPr>
            </w:pPr>
            <w:r>
              <w:rPr>
                <w:rStyle w:val="16"/>
                <w:rFonts w:hint="eastAsia"/>
                <w:color w:val="000000"/>
                <w:sz w:val="18"/>
                <w:szCs w:val="18"/>
              </w:rPr>
              <w:t>登记号</w:t>
            </w:r>
          </w:p>
        </w:tc>
        <w:tc>
          <w:tcPr>
            <w:tcW w:w="692" w:type="pct"/>
            <w:tcBorders>
              <w:top w:val="single" w:color="auto" w:sz="8" w:space="0"/>
              <w:left w:val="nil"/>
              <w:bottom w:val="single" w:color="auto" w:sz="8" w:space="0"/>
              <w:right w:val="single" w:color="auto" w:sz="8" w:space="0"/>
            </w:tcBorders>
            <w:shd w:val="clear" w:color="auto" w:fill="D0CECE"/>
            <w:tcMar>
              <w:top w:w="10" w:type="dxa"/>
              <w:left w:w="10" w:type="dxa"/>
              <w:bottom w:w="10" w:type="dxa"/>
              <w:right w:w="10" w:type="dxa"/>
            </w:tcMar>
            <w:vAlign w:val="center"/>
          </w:tcPr>
          <w:p>
            <w:pPr>
              <w:pStyle w:val="11"/>
              <w:spacing w:before="40" w:beforeAutospacing="0" w:after="40" w:afterAutospacing="0"/>
              <w:jc w:val="center"/>
              <w:rPr>
                <w:sz w:val="18"/>
                <w:szCs w:val="18"/>
              </w:rPr>
            </w:pPr>
            <w:r>
              <w:rPr>
                <w:rStyle w:val="16"/>
                <w:rFonts w:hint="eastAsia"/>
                <w:color w:val="000000"/>
                <w:sz w:val="18"/>
                <w:szCs w:val="18"/>
              </w:rPr>
              <w:t>取得方式</w:t>
            </w:r>
          </w:p>
        </w:tc>
        <w:tc>
          <w:tcPr>
            <w:tcW w:w="1080" w:type="pct"/>
            <w:tcBorders>
              <w:top w:val="single" w:color="auto" w:sz="8" w:space="0"/>
              <w:left w:val="nil"/>
              <w:bottom w:val="single" w:color="auto" w:sz="8" w:space="0"/>
              <w:right w:val="single" w:color="auto" w:sz="8" w:space="0"/>
            </w:tcBorders>
            <w:shd w:val="clear" w:color="auto" w:fill="D0CECE"/>
            <w:tcMar>
              <w:top w:w="10" w:type="dxa"/>
              <w:left w:w="10" w:type="dxa"/>
              <w:bottom w:w="10" w:type="dxa"/>
              <w:right w:w="10" w:type="dxa"/>
            </w:tcMar>
            <w:vAlign w:val="center"/>
          </w:tcPr>
          <w:p>
            <w:pPr>
              <w:pStyle w:val="11"/>
              <w:spacing w:before="40" w:beforeAutospacing="0" w:after="40" w:afterAutospacing="0"/>
              <w:jc w:val="center"/>
              <w:rPr>
                <w:sz w:val="18"/>
                <w:szCs w:val="18"/>
              </w:rPr>
            </w:pPr>
            <w:r>
              <w:rPr>
                <w:rStyle w:val="16"/>
                <w:rFonts w:hint="eastAsia"/>
                <w:color w:val="000000"/>
                <w:sz w:val="18"/>
                <w:szCs w:val="18"/>
              </w:rPr>
              <w:t>著作权保护期限</w:t>
            </w:r>
          </w:p>
        </w:tc>
        <w:tc>
          <w:tcPr>
            <w:tcW w:w="496" w:type="pct"/>
            <w:tcBorders>
              <w:top w:val="single" w:color="auto" w:sz="8" w:space="0"/>
              <w:left w:val="nil"/>
              <w:bottom w:val="single" w:color="auto" w:sz="8" w:space="0"/>
              <w:right w:val="single" w:color="auto" w:sz="8" w:space="0"/>
            </w:tcBorders>
            <w:shd w:val="clear" w:color="auto" w:fill="D0CECE"/>
            <w:tcMar>
              <w:top w:w="10" w:type="dxa"/>
              <w:left w:w="10" w:type="dxa"/>
              <w:bottom w:w="10" w:type="dxa"/>
              <w:right w:w="10" w:type="dxa"/>
            </w:tcMar>
            <w:vAlign w:val="center"/>
          </w:tcPr>
          <w:p>
            <w:pPr>
              <w:pStyle w:val="11"/>
              <w:spacing w:before="40" w:beforeAutospacing="0" w:after="40" w:afterAutospacing="0"/>
              <w:jc w:val="center"/>
              <w:rPr>
                <w:sz w:val="18"/>
                <w:szCs w:val="18"/>
              </w:rPr>
            </w:pPr>
            <w:r>
              <w:rPr>
                <w:rStyle w:val="16"/>
                <w:rFonts w:hint="eastAsia"/>
                <w:color w:val="000000"/>
                <w:sz w:val="18"/>
                <w:szCs w:val="18"/>
              </w:rPr>
              <w:t>著作权人</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研发测试管理系统</w:t>
            </w:r>
            <w:r>
              <w:rPr>
                <w:rFonts w:cs="Times New Roman"/>
                <w:sz w:val="18"/>
                <w:szCs w:val="18"/>
              </w:rPr>
              <w:t>V1.0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2022SR0463208</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2022.02.09-2072.12.31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统一抄表管理平台</w:t>
            </w:r>
            <w:r>
              <w:rPr>
                <w:rFonts w:cs="Times New Roman"/>
                <w:sz w:val="18"/>
                <w:szCs w:val="18"/>
              </w:rPr>
              <w:t>V1.00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2022SR0463209</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2021.12.30-2071.12.31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3</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统一抄表北向接口数据对接系统</w:t>
            </w:r>
            <w:r>
              <w:rPr>
                <w:rFonts w:cs="Times New Roman"/>
                <w:sz w:val="18"/>
                <w:szCs w:val="18"/>
              </w:rPr>
              <w:t>V1.00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2022SR0463210</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2021.12.30-2071.12.31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4</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完整表地址核对导入系统</w:t>
            </w:r>
            <w:r>
              <w:rPr>
                <w:rFonts w:cs="Times New Roman"/>
                <w:sz w:val="18"/>
                <w:szCs w:val="18"/>
              </w:rPr>
              <w:t>V1.0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2022SR0486970</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2021.04.21-2071.12.31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5</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生产流量检测包装系统</w:t>
            </w:r>
            <w:r>
              <w:rPr>
                <w:rFonts w:cs="Times New Roman"/>
                <w:sz w:val="18"/>
                <w:szCs w:val="18"/>
              </w:rPr>
              <w:t>V1.0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2022SR0499924</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2021.04.17-2071.12.31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6</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完整表地址核对检测系统</w:t>
            </w:r>
            <w:r>
              <w:rPr>
                <w:rFonts w:cs="Times New Roman"/>
                <w:sz w:val="18"/>
                <w:szCs w:val="18"/>
              </w:rPr>
              <w:t>V1.0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2022SR0499923</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2021.04.21-2071.12.31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7</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南向设备统一抄表接入系统</w:t>
            </w:r>
            <w:r>
              <w:rPr>
                <w:rFonts w:cs="Times New Roman"/>
                <w:sz w:val="18"/>
                <w:szCs w:val="18"/>
              </w:rPr>
              <w:t>V1.0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2022SR0499922</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2021.12.30-2071.12.31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8</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基于复旦微单片机的防干扰红外升级嵌入式软件</w:t>
            </w:r>
            <w:r>
              <w:rPr>
                <w:rFonts w:cs="Times New Roman"/>
                <w:sz w:val="18"/>
                <w:szCs w:val="18"/>
              </w:rPr>
              <w:t xml:space="preserve"> V1.00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2022SR0665107</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2021.05.09-2071.12.31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9</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基于</w:t>
            </w:r>
            <w:r>
              <w:rPr>
                <w:rFonts w:cs="Times New Roman"/>
                <w:sz w:val="18"/>
                <w:szCs w:val="18"/>
              </w:rPr>
              <w:t>FM3316</w:t>
            </w:r>
            <w:r>
              <w:rPr>
                <w:rFonts w:hint="eastAsia"/>
                <w:sz w:val="18"/>
                <w:szCs w:val="18"/>
              </w:rPr>
              <w:t>单片机的差分升级功能嵌入式软件</w:t>
            </w:r>
            <w:r>
              <w:rPr>
                <w:rFonts w:cs="Times New Roman"/>
                <w:sz w:val="18"/>
                <w:szCs w:val="18"/>
              </w:rPr>
              <w:t>V1.00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2022SR0665108</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2021.01.15-2071.12.31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10</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基于</w:t>
            </w:r>
            <w:r>
              <w:rPr>
                <w:rFonts w:cs="Times New Roman"/>
                <w:sz w:val="18"/>
                <w:szCs w:val="18"/>
              </w:rPr>
              <w:t>FM3316</w:t>
            </w:r>
            <w:r>
              <w:rPr>
                <w:rFonts w:hint="eastAsia"/>
                <w:sz w:val="18"/>
                <w:szCs w:val="18"/>
              </w:rPr>
              <w:t>单片机的多功能</w:t>
            </w:r>
            <w:r>
              <w:rPr>
                <w:rFonts w:cs="Times New Roman"/>
                <w:sz w:val="18"/>
                <w:szCs w:val="18"/>
              </w:rPr>
              <w:t>NB-IoT</w:t>
            </w:r>
            <w:r>
              <w:rPr>
                <w:rFonts w:hint="eastAsia"/>
                <w:sz w:val="18"/>
                <w:szCs w:val="18"/>
              </w:rPr>
              <w:t>无磁水表嵌入式软件</w:t>
            </w:r>
            <w:r>
              <w:rPr>
                <w:rFonts w:cs="Times New Roman"/>
                <w:sz w:val="18"/>
                <w:szCs w:val="18"/>
              </w:rPr>
              <w:t>V1.00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2022SR0665109</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2021.04.21-2071.12.31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11</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基于</w:t>
            </w:r>
            <w:r>
              <w:rPr>
                <w:rFonts w:cs="Times New Roman"/>
                <w:sz w:val="18"/>
                <w:szCs w:val="18"/>
              </w:rPr>
              <w:t>FM3316</w:t>
            </w:r>
            <w:r>
              <w:rPr>
                <w:rFonts w:hint="eastAsia"/>
                <w:sz w:val="18"/>
                <w:szCs w:val="18"/>
              </w:rPr>
              <w:t>单片机接入雄安</w:t>
            </w:r>
            <w:r>
              <w:rPr>
                <w:rFonts w:cs="Times New Roman"/>
                <w:sz w:val="18"/>
                <w:szCs w:val="18"/>
              </w:rPr>
              <w:t>IoT</w:t>
            </w:r>
            <w:r>
              <w:rPr>
                <w:rFonts w:hint="eastAsia"/>
                <w:sz w:val="18"/>
                <w:szCs w:val="18"/>
              </w:rPr>
              <w:t>平台的无磁</w:t>
            </w:r>
            <w:r>
              <w:rPr>
                <w:rFonts w:cs="Times New Roman"/>
                <w:sz w:val="18"/>
                <w:szCs w:val="18"/>
              </w:rPr>
              <w:t>NB-IoT</w:t>
            </w:r>
            <w:r>
              <w:rPr>
                <w:rFonts w:hint="eastAsia"/>
                <w:sz w:val="18"/>
                <w:szCs w:val="18"/>
              </w:rPr>
              <w:t>水表嵌入式软件</w:t>
            </w:r>
            <w:r>
              <w:rPr>
                <w:rFonts w:cs="Times New Roman"/>
                <w:sz w:val="18"/>
                <w:szCs w:val="18"/>
              </w:rPr>
              <w:t>V1.00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2022SR0665110</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2021.06.18-2071.12.31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12</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基于</w:t>
            </w:r>
            <w:r>
              <w:rPr>
                <w:rFonts w:cs="Times New Roman"/>
                <w:sz w:val="18"/>
                <w:szCs w:val="18"/>
              </w:rPr>
              <w:t>N21</w:t>
            </w:r>
            <w:r>
              <w:rPr>
                <w:rFonts w:hint="eastAsia"/>
                <w:sz w:val="18"/>
                <w:szCs w:val="18"/>
              </w:rPr>
              <w:t>模组的</w:t>
            </w:r>
            <w:r>
              <w:rPr>
                <w:rFonts w:cs="Times New Roman"/>
                <w:sz w:val="18"/>
                <w:szCs w:val="18"/>
              </w:rPr>
              <w:t>NB-IoT</w:t>
            </w:r>
            <w:r>
              <w:rPr>
                <w:rFonts w:hint="eastAsia"/>
                <w:sz w:val="18"/>
                <w:szCs w:val="18"/>
              </w:rPr>
              <w:t>无磁水表嵌入式软件</w:t>
            </w:r>
            <w:r>
              <w:rPr>
                <w:rFonts w:cs="Times New Roman"/>
                <w:sz w:val="18"/>
                <w:szCs w:val="18"/>
              </w:rPr>
              <w:t>V1.00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2022SR0665111</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2021.04.09-2071.12.31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13</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基于</w:t>
            </w:r>
            <w:r>
              <w:rPr>
                <w:rFonts w:cs="Times New Roman"/>
                <w:sz w:val="18"/>
                <w:szCs w:val="18"/>
              </w:rPr>
              <w:t>N21</w:t>
            </w:r>
            <w:r>
              <w:rPr>
                <w:rFonts w:hint="eastAsia"/>
                <w:sz w:val="18"/>
                <w:szCs w:val="18"/>
              </w:rPr>
              <w:t>模组用于福州协议</w:t>
            </w:r>
            <w:r>
              <w:rPr>
                <w:rFonts w:cs="Times New Roman"/>
                <w:sz w:val="18"/>
                <w:szCs w:val="18"/>
              </w:rPr>
              <w:t>NB-IoT</w:t>
            </w:r>
            <w:r>
              <w:rPr>
                <w:rFonts w:hint="eastAsia"/>
                <w:sz w:val="18"/>
                <w:szCs w:val="18"/>
              </w:rPr>
              <w:t>无磁水表嵌入式软件</w:t>
            </w:r>
            <w:r>
              <w:rPr>
                <w:rFonts w:cs="Times New Roman"/>
                <w:sz w:val="18"/>
                <w:szCs w:val="18"/>
              </w:rPr>
              <w:t>V1.00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2022SR0873090</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2021.04.30-2071.12.31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14</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基于</w:t>
            </w:r>
            <w:r>
              <w:rPr>
                <w:rFonts w:cs="Times New Roman"/>
                <w:sz w:val="18"/>
                <w:szCs w:val="18"/>
              </w:rPr>
              <w:t>N21</w:t>
            </w:r>
            <w:r>
              <w:rPr>
                <w:rFonts w:hint="eastAsia"/>
                <w:sz w:val="18"/>
                <w:szCs w:val="18"/>
              </w:rPr>
              <w:t>模组用于抚州协议</w:t>
            </w:r>
            <w:r>
              <w:rPr>
                <w:rFonts w:cs="Times New Roman"/>
                <w:sz w:val="18"/>
                <w:szCs w:val="18"/>
              </w:rPr>
              <w:t>NB-IoT</w:t>
            </w:r>
            <w:r>
              <w:rPr>
                <w:rFonts w:hint="eastAsia"/>
                <w:sz w:val="18"/>
                <w:szCs w:val="18"/>
              </w:rPr>
              <w:t>无磁水表嵌入式软件</w:t>
            </w:r>
            <w:r>
              <w:rPr>
                <w:rFonts w:cs="Times New Roman"/>
                <w:sz w:val="18"/>
                <w:szCs w:val="18"/>
              </w:rPr>
              <w:t>V1.00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2022SR0873091</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2021.05.30-2071.12.31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15</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无磁</w:t>
            </w:r>
            <w:r>
              <w:rPr>
                <w:rFonts w:cs="Times New Roman"/>
                <w:sz w:val="18"/>
                <w:szCs w:val="18"/>
              </w:rPr>
              <w:t>MBUS</w:t>
            </w:r>
            <w:r>
              <w:rPr>
                <w:rFonts w:hint="eastAsia"/>
                <w:sz w:val="18"/>
                <w:szCs w:val="18"/>
              </w:rPr>
              <w:t>有线远传水表测试工装嵌入式软件</w:t>
            </w:r>
            <w:r>
              <w:rPr>
                <w:rFonts w:cs="Times New Roman"/>
                <w:sz w:val="18"/>
                <w:szCs w:val="18"/>
              </w:rPr>
              <w:t>V1.00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2022SR0873092</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2021.05.09-2071.12.31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16</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设备入库管理系统</w:t>
            </w:r>
            <w:r>
              <w:rPr>
                <w:rFonts w:cs="Times New Roman"/>
                <w:sz w:val="18"/>
                <w:szCs w:val="18"/>
              </w:rPr>
              <w:t>V1.00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2022SR0913299</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2021.05.21-2071.12.31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17</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设备出库管理系统</w:t>
            </w:r>
            <w:r>
              <w:rPr>
                <w:rFonts w:cs="Times New Roman"/>
                <w:sz w:val="18"/>
                <w:szCs w:val="18"/>
              </w:rPr>
              <w:t>V1.00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2022SR0913300</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2021.05.21-2071.12.31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18</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设备查询管理系统</w:t>
            </w:r>
            <w:r>
              <w:rPr>
                <w:rFonts w:cs="Times New Roman"/>
                <w:sz w:val="18"/>
                <w:szCs w:val="18"/>
              </w:rPr>
              <w:t>V1.00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2022SR0913301</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2021.06.21-2071.12.31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19</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抄表系统自动监控系统</w:t>
            </w:r>
            <w:r>
              <w:rPr>
                <w:rFonts w:cs="Times New Roman"/>
                <w:sz w:val="18"/>
                <w:szCs w:val="18"/>
              </w:rPr>
              <w:t>V1.0.0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2022SR0913302</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2022.04.30-2072.12.31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数据库处理系统</w:t>
            </w:r>
            <w:r>
              <w:rPr>
                <w:rFonts w:cs="Times New Roman"/>
                <w:sz w:val="18"/>
                <w:szCs w:val="18"/>
              </w:rPr>
              <w:t>V1.0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2022SR1083349</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2022.05.12-2072.12.31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21</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物联网表异常分析系统</w:t>
            </w:r>
            <w:r>
              <w:rPr>
                <w:rFonts w:cs="Times New Roman"/>
                <w:sz w:val="18"/>
                <w:szCs w:val="18"/>
              </w:rPr>
              <w:t>V1.0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2022SR1083348</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2021.03.12-2071.12.31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22</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基于</w:t>
            </w:r>
            <w:r>
              <w:rPr>
                <w:rFonts w:cs="Times New Roman"/>
                <w:sz w:val="18"/>
                <w:szCs w:val="18"/>
              </w:rPr>
              <w:t>TLV</w:t>
            </w:r>
            <w:r>
              <w:rPr>
                <w:rFonts w:hint="eastAsia"/>
                <w:sz w:val="18"/>
                <w:szCs w:val="18"/>
              </w:rPr>
              <w:t>协议的电磁水表抄表系统</w:t>
            </w:r>
            <w:r>
              <w:rPr>
                <w:rFonts w:cs="Times New Roman"/>
                <w:sz w:val="18"/>
                <w:szCs w:val="18"/>
              </w:rPr>
              <w:t xml:space="preserve"> V1.0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2022SR1371447</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2021.12.02-2071.12.31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23</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cs="Times New Roman"/>
                <w:sz w:val="18"/>
                <w:szCs w:val="18"/>
              </w:rPr>
              <w:t>BS</w:t>
            </w:r>
            <w:r>
              <w:rPr>
                <w:rFonts w:hint="eastAsia"/>
                <w:sz w:val="18"/>
                <w:szCs w:val="18"/>
              </w:rPr>
              <w:t>抄表系统对接统一抄表平台</w:t>
            </w:r>
            <w:r>
              <w:rPr>
                <w:rFonts w:cs="Times New Roman"/>
                <w:sz w:val="18"/>
                <w:szCs w:val="18"/>
              </w:rPr>
              <w:t xml:space="preserve"> V1.00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2022SR1371448</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2021.12.15-2071.12.31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24</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卡表系统</w:t>
            </w:r>
            <w:r>
              <w:rPr>
                <w:rFonts w:cs="Times New Roman"/>
                <w:sz w:val="18"/>
                <w:szCs w:val="18"/>
              </w:rPr>
              <w:t>WebService</w:t>
            </w:r>
            <w:r>
              <w:rPr>
                <w:rFonts w:hint="eastAsia"/>
                <w:sz w:val="18"/>
                <w:szCs w:val="18"/>
              </w:rPr>
              <w:t>服务端</w:t>
            </w:r>
            <w:r>
              <w:rPr>
                <w:rFonts w:cs="Times New Roman"/>
                <w:sz w:val="18"/>
                <w:szCs w:val="18"/>
              </w:rPr>
              <w:t xml:space="preserve"> V1.0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2022SR1371486</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2020.08.20-2070.12.31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25</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cs="Times New Roman"/>
                <w:sz w:val="18"/>
                <w:szCs w:val="18"/>
              </w:rPr>
              <w:t>java</w:t>
            </w:r>
            <w:r>
              <w:rPr>
                <w:rFonts w:hint="eastAsia"/>
                <w:sz w:val="18"/>
                <w:szCs w:val="18"/>
              </w:rPr>
              <w:t>版主库阀控接口软件</w:t>
            </w:r>
            <w:r>
              <w:rPr>
                <w:rFonts w:cs="Times New Roman"/>
                <w:sz w:val="18"/>
                <w:szCs w:val="18"/>
              </w:rPr>
              <w:t xml:space="preserve"> V1.00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2022SR1371487</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2022.07-07-2072.12.31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26</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无磁机电排查</w:t>
            </w:r>
            <w:r>
              <w:rPr>
                <w:rFonts w:cs="Times New Roman"/>
                <w:sz w:val="18"/>
                <w:szCs w:val="18"/>
              </w:rPr>
              <w:t>App</w:t>
            </w:r>
            <w:r>
              <w:rPr>
                <w:rFonts w:hint="eastAsia"/>
                <w:sz w:val="18"/>
                <w:szCs w:val="18"/>
              </w:rPr>
              <w:t>软件</w:t>
            </w:r>
            <w:r>
              <w:rPr>
                <w:rFonts w:cs="Times New Roman"/>
                <w:sz w:val="18"/>
                <w:szCs w:val="18"/>
              </w:rPr>
              <w:t xml:space="preserve"> V1.00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2022SR1374736</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2021.03.15-2071.12.31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三川智慧</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27</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杭州三川国德营业收费系统</w:t>
            </w:r>
            <w:r>
              <w:rPr>
                <w:rFonts w:cs="Times New Roman"/>
                <w:sz w:val="18"/>
                <w:szCs w:val="18"/>
              </w:rPr>
              <w:t>V1.0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2022SR0413844</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2021.05.30-2071.12.31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三川国德</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28</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三川国德智慧水务决策分析系统</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2022SR0413849</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2021.05.30-2071.12.31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三川国德</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29</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一体化平台</w:t>
            </w:r>
            <w:r>
              <w:rPr>
                <w:rFonts w:cs="Times New Roman"/>
                <w:sz w:val="18"/>
                <w:szCs w:val="18"/>
              </w:rPr>
              <w:t>V1.0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2022SR1197204</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2021.10.31-2071.12.31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三川国德</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30</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环卫费智能收费系统</w:t>
            </w:r>
            <w:r>
              <w:rPr>
                <w:rFonts w:cs="Times New Roman"/>
                <w:sz w:val="18"/>
                <w:szCs w:val="18"/>
              </w:rPr>
              <w:t>V1.0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2022SR1148631</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2021.12.31-2071.12.31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三川国德</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31</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供水营业收费周期换表系统</w:t>
            </w:r>
            <w:r>
              <w:rPr>
                <w:rFonts w:cs="Times New Roman"/>
                <w:sz w:val="18"/>
                <w:szCs w:val="18"/>
              </w:rPr>
              <w:t>V1.0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2022SR0891596</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2021.12.31-2071.12.31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三川国德</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32</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智能语音系统</w:t>
            </w:r>
            <w:r>
              <w:rPr>
                <w:rFonts w:cs="Times New Roman"/>
                <w:sz w:val="18"/>
                <w:szCs w:val="18"/>
              </w:rPr>
              <w:t>V1.0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2022SR0905112</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2021.12.31-2071.12.31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三川国德</w:t>
            </w:r>
          </w:p>
        </w:tc>
      </w:tr>
      <w:tr>
        <w:tblPrEx>
          <w:tblCellMar>
            <w:top w:w="0" w:type="dxa"/>
            <w:left w:w="0" w:type="dxa"/>
            <w:bottom w:w="0" w:type="dxa"/>
            <w:right w:w="0" w:type="dxa"/>
          </w:tblCellMar>
        </w:tblPrEx>
        <w:tc>
          <w:tcPr>
            <w:tcW w:w="263" w:type="pct"/>
            <w:tcBorders>
              <w:top w:val="nil"/>
              <w:left w:val="single" w:color="auto" w:sz="8" w:space="0"/>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33</w:t>
            </w:r>
          </w:p>
        </w:tc>
        <w:tc>
          <w:tcPr>
            <w:tcW w:w="1704"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rPr>
                <w:sz w:val="18"/>
                <w:szCs w:val="18"/>
              </w:rPr>
            </w:pPr>
            <w:r>
              <w:rPr>
                <w:rFonts w:hint="eastAsia"/>
                <w:sz w:val="18"/>
                <w:szCs w:val="18"/>
              </w:rPr>
              <w:t>温岭甬岭水表智能智造辅助系统</w:t>
            </w:r>
            <w:r>
              <w:rPr>
                <w:rFonts w:cs="Times New Roman"/>
                <w:sz w:val="18"/>
                <w:szCs w:val="18"/>
              </w:rPr>
              <w:t xml:space="preserve"> V1.0</w:t>
            </w:r>
          </w:p>
        </w:tc>
        <w:tc>
          <w:tcPr>
            <w:tcW w:w="763"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2022SR0130568</w:t>
            </w:r>
          </w:p>
        </w:tc>
        <w:tc>
          <w:tcPr>
            <w:tcW w:w="692"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原始取得</w:t>
            </w:r>
          </w:p>
        </w:tc>
        <w:tc>
          <w:tcPr>
            <w:tcW w:w="1080"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cs="Times New Roman"/>
                <w:sz w:val="18"/>
                <w:szCs w:val="18"/>
              </w:rPr>
              <w:t>2021.07.10-2071.12.31</w:t>
            </w:r>
          </w:p>
        </w:tc>
        <w:tc>
          <w:tcPr>
            <w:tcW w:w="496" w:type="pct"/>
            <w:tcBorders>
              <w:top w:val="nil"/>
              <w:left w:val="nil"/>
              <w:bottom w:val="single" w:color="auto" w:sz="8" w:space="0"/>
              <w:right w:val="single" w:color="auto" w:sz="8" w:space="0"/>
            </w:tcBorders>
            <w:tcMar>
              <w:top w:w="10" w:type="dxa"/>
              <w:left w:w="10" w:type="dxa"/>
              <w:bottom w:w="10" w:type="dxa"/>
              <w:right w:w="10" w:type="dxa"/>
            </w:tcMar>
            <w:vAlign w:val="center"/>
          </w:tcPr>
          <w:p>
            <w:pPr>
              <w:pStyle w:val="11"/>
              <w:spacing w:before="40" w:beforeAutospacing="0" w:after="40" w:afterAutospacing="0"/>
              <w:jc w:val="center"/>
              <w:rPr>
                <w:sz w:val="18"/>
                <w:szCs w:val="18"/>
              </w:rPr>
            </w:pPr>
            <w:r>
              <w:rPr>
                <w:rFonts w:hint="eastAsia"/>
                <w:sz w:val="18"/>
                <w:szCs w:val="18"/>
              </w:rPr>
              <w:t>甬岭水表</w:t>
            </w:r>
          </w:p>
        </w:tc>
      </w:tr>
    </w:tbl>
    <w:p>
      <w:pPr>
        <w:pStyle w:val="11"/>
        <w:spacing w:before="40" w:beforeAutospacing="0" w:after="40" w:afterAutospacing="0"/>
        <w:ind w:firstLine="361"/>
      </w:pPr>
      <w:r>
        <w:rPr>
          <w:rStyle w:val="16"/>
          <w:rFonts w:hint="eastAsia"/>
          <w:sz w:val="18"/>
          <w:szCs w:val="18"/>
        </w:rPr>
        <w:t>2、品牌优势 </w:t>
      </w:r>
    </w:p>
    <w:p>
      <w:pPr>
        <w:pStyle w:val="11"/>
        <w:spacing w:before="40" w:beforeAutospacing="0" w:after="40" w:afterAutospacing="0"/>
        <w:ind w:firstLine="360" w:firstLineChars="200"/>
      </w:pPr>
      <w:r>
        <w:rPr>
          <w:rFonts w:hint="eastAsia"/>
          <w:sz w:val="18"/>
          <w:szCs w:val="18"/>
        </w:rPr>
        <w:t>公司是国内最早专业从事水表研发、生产、销售的企业之一，也是行业内首家以水表为主业的上市公司。长期以来，公司坚持</w:t>
      </w:r>
      <w:r>
        <w:rPr>
          <w:rFonts w:ascii="Times New Roman" w:hAnsi="Times New Roman" w:cs="Times New Roman"/>
          <w:sz w:val="18"/>
          <w:szCs w:val="18"/>
        </w:rPr>
        <w:t>“</w:t>
      </w:r>
      <w:r>
        <w:rPr>
          <w:rFonts w:hint="eastAsia"/>
          <w:sz w:val="18"/>
          <w:szCs w:val="18"/>
        </w:rPr>
        <w:t>以市场为导向、以质量为根基、以品牌赢市场</w:t>
      </w:r>
      <w:r>
        <w:rPr>
          <w:rFonts w:ascii="Times New Roman" w:hAnsi="Times New Roman" w:cs="Times New Roman"/>
          <w:sz w:val="18"/>
          <w:szCs w:val="18"/>
        </w:rPr>
        <w:t>”</w:t>
      </w:r>
      <w:r>
        <w:rPr>
          <w:rFonts w:hint="eastAsia"/>
          <w:sz w:val="18"/>
          <w:szCs w:val="18"/>
        </w:rPr>
        <w:t>的发展理念，凭借技术先进、质量可靠、性能稳定的产品与服务拓展市场，树立品牌形象，赢得客户的信赖和认可。经过多年的努力，公司产品先后荣获中国名牌、国家免检、全国用户满意产品等荣誉称号，</w:t>
      </w:r>
      <w:r>
        <w:rPr>
          <w:rFonts w:ascii="Times New Roman" w:hAnsi="Times New Roman" w:cs="Times New Roman"/>
          <w:sz w:val="18"/>
          <w:szCs w:val="18"/>
        </w:rPr>
        <w:t>“</w:t>
      </w:r>
      <w:r>
        <w:rPr>
          <w:rFonts w:hint="eastAsia"/>
          <w:sz w:val="18"/>
          <w:szCs w:val="18"/>
        </w:rPr>
        <w:t>三川牌</w:t>
      </w:r>
      <w:r>
        <w:rPr>
          <w:rFonts w:ascii="Times New Roman" w:hAnsi="Times New Roman" w:cs="Times New Roman"/>
          <w:sz w:val="18"/>
          <w:szCs w:val="18"/>
        </w:rPr>
        <w:t>”</w:t>
      </w:r>
      <w:r>
        <w:rPr>
          <w:rFonts w:hint="eastAsia"/>
          <w:sz w:val="18"/>
          <w:szCs w:val="18"/>
        </w:rPr>
        <w:t>也曾被授予中国驰名商标，在行业内获得了较高的品牌知名度、美誉度和市场影响力，形成了</w:t>
      </w:r>
      <w:r>
        <w:rPr>
          <w:rFonts w:ascii="Times New Roman" w:hAnsi="Times New Roman" w:cs="Times New Roman"/>
          <w:sz w:val="18"/>
          <w:szCs w:val="18"/>
        </w:rPr>
        <w:t>“</w:t>
      </w:r>
      <w:r>
        <w:rPr>
          <w:rFonts w:hint="eastAsia"/>
          <w:sz w:val="18"/>
          <w:szCs w:val="18"/>
        </w:rPr>
        <w:t>上善若水、百年三川</w:t>
      </w:r>
      <w:r>
        <w:rPr>
          <w:rFonts w:ascii="Times New Roman" w:hAnsi="Times New Roman" w:cs="Times New Roman"/>
          <w:sz w:val="18"/>
          <w:szCs w:val="18"/>
        </w:rPr>
        <w:t>”</w:t>
      </w:r>
      <w:r>
        <w:rPr>
          <w:rFonts w:hint="eastAsia"/>
          <w:sz w:val="18"/>
          <w:szCs w:val="18"/>
        </w:rPr>
        <w:t>的核心品牌价值。</w:t>
      </w:r>
      <w:r>
        <w:rPr>
          <w:rFonts w:ascii="Times New Roman" w:hAnsi="Times New Roman" w:cs="Times New Roman"/>
          <w:sz w:val="18"/>
          <w:szCs w:val="18"/>
        </w:rPr>
        <w:t> </w:t>
      </w:r>
    </w:p>
    <w:p>
      <w:pPr>
        <w:pStyle w:val="11"/>
        <w:spacing w:before="40" w:beforeAutospacing="0" w:after="40" w:afterAutospacing="0"/>
        <w:ind w:firstLine="360" w:firstLineChars="200"/>
        <w:rPr>
          <w:rStyle w:val="16"/>
          <w:sz w:val="18"/>
          <w:szCs w:val="18"/>
        </w:rPr>
      </w:pPr>
    </w:p>
    <w:p>
      <w:pPr>
        <w:pStyle w:val="11"/>
        <w:spacing w:before="40" w:beforeAutospacing="0" w:after="40" w:afterAutospacing="0"/>
        <w:ind w:firstLine="363"/>
        <w:jc w:val="both"/>
      </w:pPr>
      <w:r>
        <w:rPr>
          <w:rStyle w:val="16"/>
          <w:rFonts w:hint="eastAsia"/>
          <w:sz w:val="18"/>
          <w:szCs w:val="18"/>
        </w:rPr>
        <w:t>3、营销与服务优势</w:t>
      </w:r>
    </w:p>
    <w:p>
      <w:pPr>
        <w:pStyle w:val="11"/>
        <w:spacing w:before="40" w:beforeAutospacing="0" w:after="40" w:afterAutospacing="0"/>
        <w:ind w:firstLine="360" w:firstLineChars="200"/>
        <w:rPr>
          <w:sz w:val="18"/>
          <w:szCs w:val="18"/>
        </w:rPr>
      </w:pPr>
      <w:r>
        <w:rPr>
          <w:rFonts w:hint="eastAsia"/>
          <w:sz w:val="18"/>
          <w:szCs w:val="18"/>
        </w:rPr>
        <w:t>公司业务以国内为主，出口为辅。产品出口方面，已累计销往六十多个国家，销售地区涵盖了欧洲、东南亚、非洲、大洋洲、南美洲；国内业务遍布全国</w:t>
      </w:r>
      <w:r>
        <w:rPr>
          <w:sz w:val="18"/>
          <w:szCs w:val="18"/>
        </w:rPr>
        <w:t>31</w:t>
      </w:r>
      <w:r>
        <w:rPr>
          <w:rFonts w:hint="eastAsia"/>
          <w:sz w:val="18"/>
          <w:szCs w:val="18"/>
        </w:rPr>
        <w:t>个省、市、自治区，与国内众多水司建立和保持着长期、稳定、紧密的业务合作关系，客户覆盖率达到</w:t>
      </w:r>
      <w:r>
        <w:rPr>
          <w:sz w:val="18"/>
          <w:szCs w:val="18"/>
        </w:rPr>
        <w:t>40%</w:t>
      </w:r>
      <w:r>
        <w:rPr>
          <w:rFonts w:hint="eastAsia"/>
          <w:sz w:val="18"/>
          <w:szCs w:val="18"/>
        </w:rPr>
        <w:t>左右。与此同时，为更好地贴近市场，了解市场动态，加强与客户的联系与沟通，及时发现客户需求，稳定销售渠道，做好售前、售中、售后服务，有效地提升市场占有率和渗透率，公司先后在北京、南京、广州等十一个中心区位城市设立了营销与客服办事处，与客户的联系更加紧密，服务更加到位，形成了更加明显的渠道与服务优势。</w:t>
      </w:r>
    </w:p>
    <w:p>
      <w:pPr>
        <w:pStyle w:val="11"/>
        <w:spacing w:before="40" w:beforeAutospacing="0" w:after="40" w:afterAutospacing="0"/>
        <w:ind w:firstLine="360" w:firstLineChars="200"/>
        <w:rPr>
          <w:sz w:val="18"/>
          <w:szCs w:val="18"/>
        </w:rPr>
      </w:pPr>
      <w:r>
        <w:rPr>
          <w:rFonts w:hint="eastAsia"/>
          <w:sz w:val="18"/>
          <w:szCs w:val="18"/>
        </w:rPr>
        <w:t>报告期内，公司成立了智慧水务事业群，设立了智慧水务营销中心，全力推进和实施“三川特色、一体两翼”的发展战略，以促进供水企业信息化、数字化转型和绿色低碳发展。</w:t>
      </w:r>
    </w:p>
    <w:p>
      <w:pPr>
        <w:pStyle w:val="11"/>
        <w:spacing w:before="40" w:beforeAutospacing="0" w:after="40" w:afterAutospacing="0"/>
        <w:ind w:firstLine="363"/>
        <w:jc w:val="both"/>
        <w:rPr>
          <w:rStyle w:val="16"/>
          <w:sz w:val="18"/>
          <w:szCs w:val="18"/>
        </w:rPr>
      </w:pPr>
    </w:p>
    <w:p>
      <w:pPr>
        <w:pStyle w:val="11"/>
        <w:spacing w:before="40" w:beforeAutospacing="0" w:after="40" w:afterAutospacing="0"/>
        <w:ind w:firstLine="363"/>
        <w:jc w:val="both"/>
        <w:rPr>
          <w:rStyle w:val="16"/>
          <w:sz w:val="18"/>
          <w:szCs w:val="18"/>
        </w:rPr>
      </w:pPr>
      <w:r>
        <w:rPr>
          <w:rStyle w:val="16"/>
          <w:rFonts w:hint="eastAsia"/>
          <w:sz w:val="18"/>
          <w:szCs w:val="18"/>
        </w:rPr>
        <w:t>4、产销规模和质量控制优势 </w:t>
      </w:r>
    </w:p>
    <w:p>
      <w:pPr>
        <w:pStyle w:val="11"/>
        <w:spacing w:before="40" w:beforeAutospacing="0" w:after="40" w:afterAutospacing="0"/>
        <w:ind w:firstLine="360" w:firstLineChars="200"/>
        <w:rPr>
          <w:sz w:val="18"/>
          <w:szCs w:val="18"/>
        </w:rPr>
      </w:pPr>
      <w:r>
        <w:rPr>
          <w:rFonts w:hint="eastAsia"/>
          <w:sz w:val="18"/>
          <w:szCs w:val="18"/>
        </w:rPr>
        <w:t>公司经营稳健，管理精细，专注于水表产品的研发、生产四十多年，积累了丰富的产品工艺技术与制造经验，能够有效地控制生产成本、保证产品品质，从而持续保持竞争优势、巩固行业领先地位。 </w:t>
      </w:r>
    </w:p>
    <w:p>
      <w:pPr>
        <w:pStyle w:val="11"/>
        <w:spacing w:before="40" w:beforeAutospacing="0" w:after="40" w:afterAutospacing="0"/>
        <w:ind w:firstLine="360" w:firstLineChars="200"/>
        <w:rPr>
          <w:sz w:val="18"/>
          <w:szCs w:val="18"/>
        </w:rPr>
      </w:pPr>
      <w:r>
        <w:rPr>
          <w:rFonts w:hint="eastAsia"/>
          <w:sz w:val="18"/>
          <w:szCs w:val="18"/>
        </w:rPr>
        <w:t>公司控股子公司天和永磁目前的稀土氧化物（</w:t>
      </w:r>
      <w:r>
        <w:rPr>
          <w:sz w:val="18"/>
          <w:szCs w:val="18"/>
        </w:rPr>
        <w:t>REO</w:t>
      </w:r>
      <w:r>
        <w:rPr>
          <w:rFonts w:hint="eastAsia"/>
          <w:sz w:val="18"/>
          <w:szCs w:val="18"/>
        </w:rPr>
        <w:t>）产能为</w:t>
      </w:r>
      <w:r>
        <w:rPr>
          <w:sz w:val="18"/>
          <w:szCs w:val="18"/>
        </w:rPr>
        <w:t>1000</w:t>
      </w:r>
      <w:r>
        <w:rPr>
          <w:rFonts w:hint="eastAsia"/>
          <w:sz w:val="18"/>
          <w:szCs w:val="18"/>
        </w:rPr>
        <w:t>吨</w:t>
      </w:r>
      <w:r>
        <w:rPr>
          <w:sz w:val="18"/>
          <w:szCs w:val="18"/>
        </w:rPr>
        <w:t>/</w:t>
      </w:r>
      <w:r>
        <w:rPr>
          <w:rFonts w:hint="eastAsia"/>
          <w:sz w:val="18"/>
          <w:szCs w:val="18"/>
        </w:rPr>
        <w:t>年，2022年5月其技改扩建项目已取得江西省工信厅批复，预计</w:t>
      </w:r>
      <w:r>
        <w:rPr>
          <w:sz w:val="18"/>
          <w:szCs w:val="18"/>
        </w:rPr>
        <w:t>2023</w:t>
      </w:r>
      <w:r>
        <w:rPr>
          <w:rFonts w:hint="eastAsia"/>
          <w:sz w:val="18"/>
          <w:szCs w:val="18"/>
        </w:rPr>
        <w:t>年建成投产后可形成年产稀土氧化物</w:t>
      </w:r>
      <w:r>
        <w:rPr>
          <w:sz w:val="18"/>
          <w:szCs w:val="18"/>
        </w:rPr>
        <w:t>3000</w:t>
      </w:r>
      <w:r>
        <w:rPr>
          <w:rFonts w:hint="eastAsia"/>
          <w:sz w:val="18"/>
          <w:szCs w:val="18"/>
        </w:rPr>
        <w:t>吨</w:t>
      </w:r>
      <w:r>
        <w:rPr>
          <w:sz w:val="18"/>
          <w:szCs w:val="18"/>
        </w:rPr>
        <w:t>/</w:t>
      </w:r>
      <w:r>
        <w:rPr>
          <w:rFonts w:hint="eastAsia"/>
          <w:sz w:val="18"/>
          <w:szCs w:val="18"/>
        </w:rPr>
        <w:t>年的生产能力，整体产能位居行业前列。</w:t>
      </w:r>
    </w:p>
    <w:p>
      <w:pPr>
        <w:pStyle w:val="11"/>
        <w:spacing w:before="40" w:beforeAutospacing="0" w:after="40" w:afterAutospacing="0"/>
        <w:ind w:firstLine="360" w:firstLineChars="200"/>
        <w:rPr>
          <w:sz w:val="18"/>
          <w:szCs w:val="18"/>
        </w:rPr>
      </w:pPr>
      <w:r>
        <w:rPr>
          <w:rFonts w:hint="eastAsia"/>
          <w:sz w:val="18"/>
          <w:szCs w:val="18"/>
        </w:rPr>
        <w:t>报告期内，公司核心管理团队和关键技术人员没有发生重大变化。</w:t>
      </w:r>
    </w:p>
    <w:p>
      <w:pPr>
        <w:pStyle w:val="3"/>
        <w:spacing w:before="300" w:after="300" w:line="320" w:lineRule="exact"/>
        <w:rPr>
          <w:rFonts w:ascii="宋体" w:hAnsi="宋体" w:eastAsia="宋体" w:cs="宋体"/>
          <w:b/>
          <w:bCs/>
          <w:sz w:val="24"/>
          <w:szCs w:val="24"/>
        </w:rPr>
      </w:pPr>
      <w:bookmarkStart w:id="18" w:name="_Toc988905"/>
      <w:r>
        <w:rPr>
          <w:rFonts w:ascii="宋体" w:hAnsi="宋体" w:eastAsia="宋体" w:cs="宋体"/>
          <w:b/>
          <w:bCs/>
          <w:sz w:val="24"/>
          <w:szCs w:val="24"/>
        </w:rPr>
        <w:t>四、主营业务分析</w:t>
      </w:r>
      <w:bookmarkEnd w:id="18"/>
    </w:p>
    <w:p>
      <w:pPr>
        <w:pStyle w:val="4"/>
        <w:spacing w:line="280" w:lineRule="exact"/>
        <w:jc w:val="left"/>
        <w:rPr>
          <w:rFonts w:ascii="宋体" w:hAnsi="宋体" w:cs="宋体"/>
          <w:b/>
          <w:bCs/>
        </w:rPr>
      </w:pPr>
      <w:bookmarkStart w:id="19" w:name="_Toc988906"/>
      <w:r>
        <w:rPr>
          <w:rFonts w:ascii="宋体" w:hAnsi="宋体" w:cs="宋体"/>
          <w:b/>
          <w:bCs/>
        </w:rPr>
        <w:t>1、概述</w:t>
      </w:r>
      <w:bookmarkEnd w:id="19"/>
    </w:p>
    <w:p>
      <w:pPr>
        <w:pStyle w:val="11"/>
        <w:spacing w:before="40" w:beforeAutospacing="0" w:after="40" w:afterAutospacing="0"/>
        <w:ind w:firstLine="360" w:firstLineChars="200"/>
        <w:rPr>
          <w:sz w:val="18"/>
          <w:szCs w:val="18"/>
        </w:rPr>
      </w:pPr>
      <w:r>
        <w:rPr>
          <w:sz w:val="18"/>
          <w:szCs w:val="18"/>
        </w:rPr>
        <w:t>2022</w:t>
      </w:r>
      <w:r>
        <w:rPr>
          <w:rFonts w:hint="eastAsia"/>
          <w:sz w:val="18"/>
          <w:szCs w:val="18"/>
        </w:rPr>
        <w:t>年，公司实现营业收入133,167.97万元，较上年同期增长42.13</w:t>
      </w:r>
      <w:r>
        <w:rPr>
          <w:sz w:val="18"/>
          <w:szCs w:val="18"/>
        </w:rPr>
        <w:t>%</w:t>
      </w:r>
      <w:r>
        <w:rPr>
          <w:rFonts w:hint="eastAsia"/>
          <w:sz w:val="18"/>
          <w:szCs w:val="18"/>
        </w:rPr>
        <w:t>；实现营业利润24,871.94万元，较上年同期增长14.64</w:t>
      </w:r>
      <w:r>
        <w:rPr>
          <w:sz w:val="18"/>
          <w:szCs w:val="18"/>
        </w:rPr>
        <w:t>%</w:t>
      </w:r>
      <w:r>
        <w:rPr>
          <w:rFonts w:hint="eastAsia"/>
          <w:sz w:val="18"/>
          <w:szCs w:val="18"/>
        </w:rPr>
        <w:t>；实现归属于上市公司股东的净利润21,391.47万元，较上年同期增长13</w:t>
      </w:r>
      <w:r>
        <w:rPr>
          <w:sz w:val="18"/>
          <w:szCs w:val="18"/>
        </w:rPr>
        <w:t>%</w:t>
      </w:r>
      <w:r>
        <w:rPr>
          <w:rFonts w:hint="eastAsia"/>
          <w:sz w:val="18"/>
          <w:szCs w:val="18"/>
        </w:rPr>
        <w:t>。</w:t>
      </w:r>
    </w:p>
    <w:p>
      <w:pPr>
        <w:pStyle w:val="11"/>
        <w:spacing w:before="40" w:beforeAutospacing="0" w:after="40" w:afterAutospacing="0"/>
        <w:ind w:firstLine="360" w:firstLineChars="200"/>
        <w:rPr>
          <w:sz w:val="18"/>
          <w:szCs w:val="18"/>
        </w:rPr>
      </w:pPr>
      <w:r>
        <w:rPr>
          <w:rFonts w:hint="eastAsia"/>
          <w:sz w:val="18"/>
          <w:szCs w:val="18"/>
        </w:rPr>
        <w:t>报告期内的主要工作：</w:t>
      </w:r>
    </w:p>
    <w:p>
      <w:pPr>
        <w:pStyle w:val="11"/>
        <w:spacing w:before="40" w:beforeAutospacing="0" w:after="40" w:afterAutospacing="0"/>
        <w:ind w:firstLine="360" w:firstLineChars="200"/>
        <w:rPr>
          <w:sz w:val="18"/>
          <w:szCs w:val="18"/>
        </w:rPr>
      </w:pPr>
      <w:r>
        <w:rPr>
          <w:rFonts w:hint="eastAsia"/>
          <w:sz w:val="18"/>
          <w:szCs w:val="18"/>
        </w:rPr>
        <w:t>（一）广泛凝聚共识，确立发展纲要</w:t>
      </w:r>
    </w:p>
    <w:p>
      <w:pPr>
        <w:pStyle w:val="11"/>
        <w:spacing w:before="40" w:beforeAutospacing="0" w:after="40" w:afterAutospacing="0"/>
        <w:ind w:firstLine="360" w:firstLineChars="200"/>
        <w:rPr>
          <w:sz w:val="18"/>
          <w:szCs w:val="18"/>
        </w:rPr>
      </w:pPr>
      <w:r>
        <w:rPr>
          <w:rFonts w:hint="eastAsia"/>
          <w:sz w:val="18"/>
          <w:szCs w:val="18"/>
        </w:rPr>
        <w:t>2022年，公司决策层在总结多年发展经验与治理实践的基础上，结合对当下及今后一段时期发展趋势的总体判断，历经3个月的起草、广泛征求意见、反复修改，制定并发布了《三川智慧发展纲要》（以下简称“《发展纲要》”）。《发展纲要》确立了“涉水板块转型升级、稀土板块并购重组”的总战略，明确了“做好六个坚持，推动高质量发展”的总方针，诠释了以共同奋斗、共同富裕、共同幸福为核心内涵的“百年三川”总目标。《发展纲要》对公司未来3～5年工作的总体战略、思路、目标、方法进行了全面和系统的阐述，对公司未来的发展具有极其重要的指导意义。特别是 “三个共同”的提出，为三川智慧企业文化体系建设提供了核心理论，确立了终极目标。</w:t>
      </w:r>
    </w:p>
    <w:p>
      <w:pPr>
        <w:pStyle w:val="11"/>
        <w:spacing w:before="40" w:beforeAutospacing="0" w:after="40" w:afterAutospacing="0"/>
        <w:ind w:firstLine="360" w:firstLineChars="200"/>
        <w:rPr>
          <w:sz w:val="18"/>
          <w:szCs w:val="18"/>
        </w:rPr>
      </w:pPr>
      <w:r>
        <w:rPr>
          <w:rFonts w:hint="eastAsia"/>
          <w:sz w:val="18"/>
          <w:szCs w:val="18"/>
        </w:rPr>
        <w:t>（二）审慎投资决策，布局稀土板块</w:t>
      </w:r>
    </w:p>
    <w:p>
      <w:pPr>
        <w:pStyle w:val="11"/>
        <w:spacing w:before="40" w:beforeAutospacing="0" w:after="40" w:afterAutospacing="0"/>
        <w:ind w:firstLine="360" w:firstLineChars="200"/>
        <w:rPr>
          <w:sz w:val="18"/>
          <w:szCs w:val="18"/>
        </w:rPr>
      </w:pPr>
      <w:r>
        <w:rPr>
          <w:rFonts w:hint="eastAsia"/>
          <w:sz w:val="18"/>
          <w:szCs w:val="18"/>
        </w:rPr>
        <w:t>报告期内，公司以自有资金2.14亿元收购天和永磁67%的股权，同时还对外投资设立赣州川益科技有限公司、赣州川宇国际贸易有限公司和赣州三川稀土有限责任公司。收购天和永磁，目的在于布局新兴产业，将发展潜力较大的稀土资源回收利用业务注入公司业务体系，进一步优化公司的产业布局，缓解主业压力，拓展发展空间，形成“双轮驱动”的发展格局，为公司的持续发展增添新动能；设立赣州川宇和三川稀土，旨在拓宽公司稀土资源获取渠道，完善供应链体系，同时统筹稀土资源回收利用业务板块的管理，便于建立和实施统一高效的绩效管理、风险管控、业务管理体系，助力稀土业务板块迅速做大规模，提升在细分行业的领先地位和独特优势，积极稳妥的实现板块规模扩张。</w:t>
      </w:r>
    </w:p>
    <w:p>
      <w:pPr>
        <w:pStyle w:val="11"/>
        <w:spacing w:before="40" w:beforeAutospacing="0" w:after="40" w:afterAutospacing="0"/>
        <w:ind w:firstLine="360" w:firstLineChars="200"/>
        <w:rPr>
          <w:sz w:val="18"/>
          <w:szCs w:val="18"/>
        </w:rPr>
      </w:pPr>
      <w:r>
        <w:rPr>
          <w:rFonts w:hint="eastAsia"/>
          <w:sz w:val="18"/>
          <w:szCs w:val="18"/>
        </w:rPr>
        <w:t>（三）高起点高标准，推进智能工厂建设</w:t>
      </w:r>
    </w:p>
    <w:p>
      <w:pPr>
        <w:pStyle w:val="11"/>
        <w:spacing w:before="40" w:beforeAutospacing="0" w:after="40" w:afterAutospacing="0"/>
        <w:ind w:firstLine="360" w:firstLineChars="200"/>
        <w:rPr>
          <w:sz w:val="18"/>
          <w:szCs w:val="18"/>
        </w:rPr>
      </w:pPr>
      <w:r>
        <w:rPr>
          <w:rFonts w:hint="eastAsia"/>
          <w:sz w:val="18"/>
          <w:szCs w:val="18"/>
        </w:rPr>
        <w:t>2022年6月，公司在经过反复的方案论证、设备选型、总承包商与系统集成商选择的基础上，正式启动了智能工厂项目建设，同时成立了智能工厂项目审计组，负责对工程质量、工程进度、工程预算与成本、施工安全等方面实施全程监督。智能工厂建设内容包括智能仓储、智慧物流、自动化产线、信息化系统以及 5G 定制网+工业互联网平台等。智能工厂项目的实施，全面整合了公司研发、市场、产品与制造能力优势，也将全面影响和促进公司现有研发创新能力的升级、生产效率的提升、生产方式与管理模式的转变以及产品质量控制与品质保障，并将达到降本增效、提升产品品质、提升企业形象和核心竞争力的总体目标，为公司的长足发展奠定基础。</w:t>
      </w:r>
    </w:p>
    <w:p>
      <w:pPr>
        <w:pStyle w:val="11"/>
        <w:spacing w:before="40" w:beforeAutospacing="0" w:after="40" w:afterAutospacing="0"/>
        <w:ind w:firstLine="360" w:firstLineChars="200"/>
        <w:rPr>
          <w:sz w:val="18"/>
          <w:szCs w:val="18"/>
        </w:rPr>
      </w:pPr>
      <w:r>
        <w:rPr>
          <w:rFonts w:hint="eastAsia"/>
          <w:sz w:val="18"/>
          <w:szCs w:val="18"/>
        </w:rPr>
        <w:t>（四）精心高效组织，同心防疫保产</w:t>
      </w:r>
    </w:p>
    <w:p>
      <w:pPr>
        <w:pStyle w:val="11"/>
        <w:spacing w:before="40" w:beforeAutospacing="0" w:after="40" w:afterAutospacing="0"/>
        <w:ind w:firstLine="360" w:firstLineChars="200"/>
        <w:rPr>
          <w:sz w:val="18"/>
          <w:szCs w:val="18"/>
        </w:rPr>
      </w:pPr>
      <w:r>
        <w:rPr>
          <w:rFonts w:hint="eastAsia"/>
          <w:sz w:val="18"/>
          <w:szCs w:val="18"/>
        </w:rPr>
        <w:t>2022年8 月至 10 月，鹰潭一定程度受到疫情影响。面对疫情影响和经济下行双重压力，公司管理层审时度势、果断决策，快速响应、高效组织，先后两次组织千余人次参与驻厂，保产稳产。在 50 余天的驻厂奋战中，公司认真落实省市区各级政府关于疫情防控的相关要求，积极开展疫情防控和安全生产。在此期间，公司未发生一起疑似、确诊病例，未发生一例安全生产事故；同时，在销售团队的积极努力下，订单充足，在驻厂人数不足满编2/3的情况下，智能表月产量、月发货量、月发货额均创近年新高，取得了令人满意的结果，夺取了防疫保产的全面胜利，并总结和提炼出了“有令必行、团结奉献、敢打定胜”的防疫保产精神，为公司奋力冲刺全年目标提供了重要保证，也为公司未来发展提振了信心、凝聚了力量、注入了源动力。</w:t>
      </w:r>
    </w:p>
    <w:p>
      <w:pPr>
        <w:pStyle w:val="11"/>
        <w:spacing w:before="40" w:beforeAutospacing="0" w:after="40" w:afterAutospacing="0"/>
        <w:ind w:firstLine="360" w:firstLineChars="200"/>
        <w:rPr>
          <w:sz w:val="18"/>
          <w:szCs w:val="18"/>
        </w:rPr>
      </w:pPr>
      <w:r>
        <w:rPr>
          <w:rFonts w:hint="eastAsia"/>
          <w:sz w:val="18"/>
          <w:szCs w:val="18"/>
        </w:rPr>
        <w:t>（五）坚持创新驱动，增添发展动能</w:t>
      </w:r>
    </w:p>
    <w:p>
      <w:pPr>
        <w:pStyle w:val="11"/>
        <w:spacing w:before="40" w:beforeAutospacing="0" w:after="40" w:afterAutospacing="0"/>
        <w:ind w:firstLine="360" w:firstLineChars="200"/>
        <w:rPr>
          <w:sz w:val="18"/>
          <w:szCs w:val="18"/>
        </w:rPr>
      </w:pPr>
      <w:r>
        <w:rPr>
          <w:rFonts w:hint="eastAsia"/>
          <w:sz w:val="18"/>
          <w:szCs w:val="18"/>
        </w:rPr>
        <w:t>报告期内，公司始终坚持创新驱动，持续开展技术创新、管理创新、营销方式和营销模式创新，不断为公司长远发展增添新动能。</w:t>
      </w:r>
    </w:p>
    <w:p>
      <w:pPr>
        <w:pStyle w:val="11"/>
        <w:spacing w:before="40" w:beforeAutospacing="0" w:after="40" w:afterAutospacing="0"/>
        <w:ind w:firstLine="360" w:firstLineChars="200"/>
        <w:rPr>
          <w:sz w:val="18"/>
          <w:szCs w:val="18"/>
        </w:rPr>
      </w:pPr>
      <w:r>
        <w:rPr>
          <w:rFonts w:hint="eastAsia"/>
          <w:sz w:val="18"/>
          <w:szCs w:val="18"/>
        </w:rPr>
        <w:t>在技术研发方面，成功开发完成小口径阀控超声波水表，助力水司更好地实现客户管理；新版多感知超声波水表通过澳大利亚NMI（国家计量院）认证，为公司产品进一步拓宽国际市场奠定了基础；4G通信模块开发完成，提高了机械大表和电磁大表的整体上线率与稳定性，更好地满足了客户需求。</w:t>
      </w:r>
    </w:p>
    <w:p>
      <w:pPr>
        <w:pStyle w:val="11"/>
        <w:spacing w:before="40" w:beforeAutospacing="0" w:after="40" w:afterAutospacing="0"/>
        <w:ind w:firstLine="360" w:firstLineChars="200"/>
        <w:rPr>
          <w:sz w:val="18"/>
          <w:szCs w:val="18"/>
        </w:rPr>
      </w:pPr>
      <w:r>
        <w:rPr>
          <w:rFonts w:hint="eastAsia"/>
          <w:sz w:val="18"/>
          <w:szCs w:val="18"/>
        </w:rPr>
        <w:t>在管理创新方面，OA系统进一步推广使用，对提升效率、规范管理起到了极其重要的促进作用；不断优化工作作风评价体系，“以客户为中心”的理念逐步入脑、入心、入行；持续加强对分子公司的经营监督、业务指导、财务管控、文化融合，定期对分子公司日常经营情况进行督导、巡查和合规性检查，保障分子公司规范运作、合法经营；建立客户信用评级体系和异常应收账款的预警机制，加大老旧欠款的清理与回收力度，防范和化解老旧欠款与异常应收账款可能给企业带来的财务风险。</w:t>
      </w:r>
    </w:p>
    <w:p>
      <w:pPr>
        <w:pStyle w:val="11"/>
        <w:spacing w:before="40" w:beforeAutospacing="0" w:after="40" w:afterAutospacing="0"/>
        <w:ind w:firstLine="360" w:firstLineChars="200"/>
        <w:rPr>
          <w:sz w:val="18"/>
          <w:szCs w:val="18"/>
        </w:rPr>
      </w:pPr>
      <w:r>
        <w:rPr>
          <w:rFonts w:hint="eastAsia"/>
          <w:sz w:val="18"/>
          <w:szCs w:val="18"/>
        </w:rPr>
        <w:t>在营销改革方面，成立了营销管理委员会，推行了营销周例会制度，明确了营销工作领导决策机制，推动了公司高层及时掌握一线市场信息并传导公司的决策部署；通过三库（知识库、档案库、行为库）建设，进一步规范了营销数据的存储、归档和标准化推送，为营销工作提供了有力支撑；对售后服务进行工单化管理，客户满意度显著提高。</w:t>
      </w:r>
    </w:p>
    <w:p>
      <w:bookmarkStart w:id="20" w:name="_Toc988907"/>
    </w:p>
    <w:p>
      <w:pPr>
        <w:pStyle w:val="4"/>
        <w:spacing w:line="280" w:lineRule="exact"/>
        <w:jc w:val="left"/>
        <w:rPr>
          <w:rFonts w:ascii="宋体" w:hAnsi="宋体" w:cs="宋体"/>
          <w:b/>
          <w:bCs/>
        </w:rPr>
      </w:pPr>
      <w:r>
        <w:rPr>
          <w:rFonts w:ascii="宋体" w:hAnsi="宋体" w:cs="宋体"/>
          <w:b/>
          <w:bCs/>
        </w:rPr>
        <w:t>2、收入与成本</w:t>
      </w:r>
      <w:bookmarkEnd w:id="20"/>
    </w:p>
    <w:p>
      <w:pPr>
        <w:keepNext/>
        <w:keepLines/>
        <w:spacing w:before="300" w:after="300" w:line="280" w:lineRule="exact"/>
        <w:outlineLvl w:val="3"/>
        <w:rPr>
          <w:rFonts w:ascii="宋体" w:hAnsi="宋体" w:eastAsia="宋体" w:cs="宋体"/>
          <w:b/>
          <w:bCs/>
          <w:szCs w:val="21"/>
        </w:rPr>
      </w:pPr>
      <w:bookmarkStart w:id="21" w:name="_Toc988908"/>
      <w:r>
        <w:rPr>
          <w:rFonts w:ascii="宋体" w:hAnsi="宋体" w:eastAsia="宋体" w:cs="宋体"/>
          <w:b/>
          <w:bCs/>
          <w:szCs w:val="21"/>
        </w:rPr>
        <w:t>（1） 营业收入构成</w:t>
      </w:r>
      <w:bookmarkEnd w:id="21"/>
    </w:p>
    <w:p>
      <w:pPr>
        <w:spacing w:before="100" w:after="100" w:line="240" w:lineRule="exact"/>
        <w:rPr>
          <w:rFonts w:ascii="宋体" w:hAnsi="宋体" w:eastAsia="宋体" w:cs="宋体"/>
          <w:sz w:val="18"/>
          <w:szCs w:val="18"/>
        </w:rPr>
      </w:pPr>
      <w:r>
        <w:rPr>
          <w:rFonts w:ascii="宋体" w:hAnsi="宋体" w:eastAsia="宋体" w:cs="宋体"/>
          <w:sz w:val="18"/>
          <w:szCs w:val="18"/>
        </w:rPr>
        <w:t>营业收入整体情况</w:t>
      </w:r>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268"/>
        <w:gridCol w:w="1701"/>
        <w:gridCol w:w="1560"/>
        <w:gridCol w:w="1559"/>
        <w:gridCol w:w="1559"/>
        <w:gridCol w:w="99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tc>
        <w:tc>
          <w:tcPr>
            <w:tcW w:w="3261"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w:t>
            </w:r>
          </w:p>
        </w:tc>
        <w:tc>
          <w:tcPr>
            <w:tcW w:w="3118"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2021年</w:t>
            </w:r>
          </w:p>
        </w:tc>
        <w:tc>
          <w:tcPr>
            <w:tcW w:w="99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同比增减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占营业收入比重</w:t>
            </w:r>
          </w:p>
        </w:tc>
        <w:tc>
          <w:tcPr>
            <w:tcW w:w="155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55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占营业收入比重</w:t>
            </w:r>
          </w:p>
        </w:tc>
        <w:tc>
          <w:tcPr>
            <w:tcW w:w="99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营业收入合计</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1,331,679,724.58</w:t>
            </w:r>
          </w:p>
        </w:tc>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right"/>
              <w:rPr>
                <w:rFonts w:ascii="宋体" w:hAnsi="宋体" w:eastAsia="宋体" w:cs="宋体"/>
                <w:sz w:val="18"/>
                <w:szCs w:val="18"/>
                <w:shd w:val="clear" w:color="auto" w:fill="D3D3D3"/>
              </w:rPr>
            </w:pPr>
            <w:r>
              <w:rPr>
                <w:rFonts w:ascii="宋体" w:hAnsi="宋体" w:eastAsia="宋体" w:cs="宋体"/>
                <w:sz w:val="18"/>
                <w:szCs w:val="18"/>
                <w:shd w:val="clear" w:color="auto" w:fill="D3D3D3"/>
              </w:rPr>
              <w:t>100%</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936,939,518.55</w:t>
            </w:r>
          </w:p>
        </w:tc>
        <w:tc>
          <w:tcPr>
            <w:tcW w:w="155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right"/>
              <w:rPr>
                <w:rFonts w:ascii="宋体" w:hAnsi="宋体" w:eastAsia="宋体" w:cs="宋体"/>
                <w:sz w:val="18"/>
                <w:szCs w:val="18"/>
                <w:shd w:val="clear" w:color="auto" w:fill="D3D3D3"/>
              </w:rPr>
            </w:pPr>
            <w:r>
              <w:rPr>
                <w:rFonts w:ascii="宋体" w:hAnsi="宋体" w:eastAsia="宋体" w:cs="宋体"/>
                <w:sz w:val="18"/>
                <w:szCs w:val="18"/>
                <w:shd w:val="clear" w:color="auto" w:fill="D3D3D3"/>
              </w:rPr>
              <w:t>100%</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分行业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仪器仪表制造</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897,122,141.19</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67.37%</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839,194,190.06</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89.57%</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水的生产和供应</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54,516,754.14</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4.09%</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44,420,854.18</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4.74%</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软件和信息技术服务</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42,237,823.10</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3.17%</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35,848,429.11</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3.83%</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17.82%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专用设备制造</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18,434,960.99</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1.38%</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17,476,045.20</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1.87%</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稀土资源回收利用</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319,368,045.16</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23.98%</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分产品</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机械水表</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230,952,427.90</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17.34%</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259,811,202.58</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27.73%</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智能水表</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577,137,407.10</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43.34%</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513,020,896.09</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54.75%</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稀土氧化物</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319,368,045.16</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23.98%</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水务</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54,516,754.14</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4.09%</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44,420,854.18</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4.74%</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软件</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42,237,823.10</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3.17%</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35,848,429.11</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3.83%</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17.82%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二次供水设备</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18,434,960.99</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1.38%</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17,476,045.20</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1.87%</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89,032,306.19</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6.69%</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66,362,091.39</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7.08%</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分地区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东北</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41,471,225.50</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3.11%</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34,017,334.10</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3.63%</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21.91%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华北</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141,134,654.08</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10.60%</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203,346,719.30</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21.70%</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-30.59%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华东</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703,380,558.72</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52.82%</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342,031,541.49</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36.51%</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105.65%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华南</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91,311,155.23</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6.86%</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64,067,810.42</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6.84%</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42.52%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华中</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98,027,907.56</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7.36%</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87,679,236.63</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9.36%</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11.80%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西北</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56,673,207.53</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4.26%</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31,083,257.10</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3.32%</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82.33%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西南</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49,749,370.47</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3.74%</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54,510,396.29</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5.82%</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-8.73%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国外</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149,931,645.49</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11.26%</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120,203,223.22</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12.83%</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24.73%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分销售模式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直销</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922,462,133.37</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69.27%</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729,869,878.88</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77.90%</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26.39%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经销</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354,700,837.07</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26.64%</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162,648,785.49</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17.36%</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118.08%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54,516,754.14</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4.09%</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44,420,854.18</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4.74%</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22.73%</w:t>
            </w:r>
          </w:p>
        </w:tc>
      </w:tr>
    </w:tbl>
    <w:p>
      <w:pPr>
        <w:keepNext/>
        <w:keepLines/>
        <w:spacing w:before="300" w:after="300" w:line="280" w:lineRule="exact"/>
        <w:outlineLvl w:val="3"/>
        <w:rPr>
          <w:rFonts w:ascii="宋体" w:hAnsi="宋体" w:eastAsia="宋体" w:cs="宋体"/>
          <w:b/>
          <w:bCs/>
          <w:sz w:val="18"/>
          <w:szCs w:val="18"/>
        </w:rPr>
      </w:pPr>
      <w:bookmarkStart w:id="22" w:name="_Toc988909"/>
      <w:r>
        <w:rPr>
          <w:rFonts w:ascii="宋体" w:hAnsi="宋体" w:eastAsia="宋体" w:cs="宋体"/>
          <w:b/>
          <w:bCs/>
          <w:sz w:val="18"/>
          <w:szCs w:val="18"/>
        </w:rPr>
        <w:t>（2） 占公司营业收入或营业利润10%以上的行业、产品、地区、销售模式的情况</w:t>
      </w:r>
      <w:bookmarkEnd w:id="22"/>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600"/>
        <w:gridCol w:w="1559"/>
        <w:gridCol w:w="993"/>
        <w:gridCol w:w="1417"/>
        <w:gridCol w:w="1418"/>
        <w:gridCol w:w="127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60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w:t>
            </w:r>
          </w:p>
        </w:tc>
        <w:tc>
          <w:tcPr>
            <w:tcW w:w="155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营业成本</w:t>
            </w:r>
          </w:p>
        </w:tc>
        <w:tc>
          <w:tcPr>
            <w:tcW w:w="99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毛利率</w:t>
            </w:r>
          </w:p>
        </w:tc>
        <w:tc>
          <w:tcPr>
            <w:tcW w:w="14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营业收入比上年同期增减</w:t>
            </w:r>
          </w:p>
        </w:tc>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营业成本比上年同期增减</w:t>
            </w:r>
          </w:p>
        </w:tc>
        <w:tc>
          <w:tcPr>
            <w:tcW w:w="127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毛利率比上年同期增减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7"/>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分行业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仪器仪表制造业</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897,122,141.19</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656,845,869.58</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26.78%</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6.90%</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12.87%</w:t>
            </w: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稀土资源回收利用</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319,368,045.16</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291,263,307.46</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8.80%</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7"/>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分产品</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机械水表</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230,952,427.90</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193,248,453.84</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16.33%</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-11.11%</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-8.89%</w:t>
            </w: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智能水表</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577,137,407.10</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398,328,647.42</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30.98%</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12.50%</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27.36%</w:t>
            </w: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稀土氧化物</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319,368,045.16</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291,263,307.46</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8.80%</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7"/>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分地区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华北</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141,134,654.08</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97,763,452.72</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30.73%</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-30.59%</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-23.60%</w:t>
            </w: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-6.34%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华东</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703,380,558.72</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533,699,497.63</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24.12%</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105.65%</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138.13%</w:t>
            </w: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-10.35%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国外</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149,931,645.49</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111,340,478.84</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25.74%</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24.73%</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20.82%</w:t>
            </w: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7"/>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分销售模式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直销</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922,462,133.37</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675,866,743.12</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26.73%</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26.39%</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40.66%</w:t>
            </w: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经销</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354,700,837.07</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302,497,505.99</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14.72%</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118.08%</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145.20%</w:t>
            </w: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-9.43%</w:t>
            </w:r>
          </w:p>
        </w:tc>
      </w:tr>
    </w:tbl>
    <w:p>
      <w:pPr>
        <w:spacing w:before="100" w:after="100" w:line="240" w:lineRule="exact"/>
        <w:rPr>
          <w:rFonts w:ascii="宋体" w:hAnsi="宋体" w:eastAsia="宋体" w:cs="宋体"/>
          <w:sz w:val="18"/>
          <w:szCs w:val="18"/>
        </w:rPr>
      </w:pPr>
      <w:r>
        <w:rPr>
          <w:rFonts w:hint="eastAsia" w:ascii="宋体" w:hAnsi="宋体" w:eastAsia="宋体" w:cs="宋体"/>
          <w:sz w:val="18"/>
          <w:szCs w:val="18"/>
        </w:rPr>
        <w:t>相关数据变动的说明：</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报告期因铜、电池、芯片等材料价格上涨导致公司水表产品生产成本提高，尤其是对智能水表成本影响更为明显；叠加市场竞争引发的产品销售价格下降双重挤压导致水表产品毛利率整体下降。</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分地区及分销模式方面，因报告期公司合并天和永磁，天和永磁主营稀土氧化物的产销，该业务价值高但毛利率低，对分地区及分销模式相关数据同比会产生较大影响。</w:t>
      </w:r>
    </w:p>
    <w:p>
      <w:pPr>
        <w:spacing w:before="100" w:after="100" w:line="240" w:lineRule="exact"/>
        <w:rPr>
          <w:rFonts w:ascii="宋体" w:hAnsi="宋体" w:eastAsia="宋体" w:cs="宋体"/>
          <w:sz w:val="18"/>
          <w:szCs w:val="18"/>
        </w:rPr>
      </w:pPr>
      <w:r>
        <w:rPr>
          <w:rFonts w:ascii="宋体" w:hAnsi="宋体" w:eastAsia="宋体" w:cs="宋体"/>
          <w:sz w:val="18"/>
          <w:szCs w:val="18"/>
        </w:rPr>
        <w:t>公司主营业务数据统计口径在报告期发生调整的情况下，公司最近1年按报告期末口径调整后的主营业务数据</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keepNext/>
        <w:keepLines/>
        <w:spacing w:before="300" w:after="300" w:line="280" w:lineRule="exact"/>
        <w:outlineLvl w:val="3"/>
        <w:rPr>
          <w:rFonts w:ascii="宋体" w:hAnsi="宋体" w:eastAsia="宋体" w:cs="宋体"/>
          <w:b/>
          <w:bCs/>
          <w:sz w:val="18"/>
          <w:szCs w:val="18"/>
        </w:rPr>
      </w:pPr>
      <w:bookmarkStart w:id="23" w:name="_Toc988910"/>
      <w:r>
        <w:rPr>
          <w:rFonts w:ascii="宋体" w:hAnsi="宋体" w:eastAsia="宋体" w:cs="宋体"/>
          <w:b/>
          <w:bCs/>
          <w:sz w:val="18"/>
          <w:szCs w:val="18"/>
        </w:rPr>
        <w:t>（3） 公司实物销售收入是否大于劳务收入</w:t>
      </w:r>
      <w:bookmarkEnd w:id="23"/>
    </w:p>
    <w:p>
      <w:pPr>
        <w:spacing w:before="100" w:after="100" w:line="240" w:lineRule="exact"/>
        <w:rPr>
          <w:rFonts w:ascii="宋体" w:hAnsi="宋体" w:eastAsia="宋体" w:cs="宋体"/>
          <w:sz w:val="18"/>
          <w:szCs w:val="18"/>
        </w:rPr>
      </w:pPr>
      <w:r>
        <w:rPr>
          <w:rFonts w:ascii="宋体" w:hAnsi="宋体" w:eastAsia="宋体" w:cs="宋体"/>
          <w:sz w:val="18"/>
          <w:szCs w:val="18"/>
        </w:rPr>
        <w:sym w:font="Wingdings 2" w:char="F052"/>
      </w:r>
      <w:r>
        <w:rPr>
          <w:rFonts w:ascii="宋体" w:hAnsi="宋体" w:eastAsia="宋体" w:cs="宋体"/>
          <w:sz w:val="18"/>
          <w:szCs w:val="18"/>
        </w:rPr>
        <w:t>是 □否</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7"/>
        <w:gridCol w:w="1607"/>
        <w:gridCol w:w="160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行业分类</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单位</w:t>
            </w:r>
          </w:p>
        </w:tc>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w:t>
            </w:r>
          </w:p>
        </w:tc>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2021年</w:t>
            </w:r>
          </w:p>
        </w:tc>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同比增减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restart"/>
            <w:tcBorders>
              <w:top w:val="single" w:color="auto" w:sz="2" w:space="0"/>
              <w:left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仪器仪表制造业</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销售量</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万只</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739.97</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725.61</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continue"/>
            <w:tcBorders>
              <w:left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生产量</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万只</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749.88</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723.22</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continue"/>
            <w:tcBorders>
              <w:left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库存量</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万只</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159.18</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123.28</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restart"/>
            <w:tcBorders>
              <w:left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稀土资源回收利用</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销售量</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吨</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316.01</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continue"/>
            <w:tcBorders>
              <w:left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生产量</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 吨</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311.25</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vMerge w:val="continue"/>
            <w:tcBorders>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库存量</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 吨</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6.21</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spacing w:before="100" w:after="100" w:line="240" w:lineRule="exact"/>
        <w:rPr>
          <w:rFonts w:ascii="宋体" w:hAnsi="宋体" w:eastAsia="宋体" w:cs="宋体"/>
          <w:sz w:val="18"/>
          <w:szCs w:val="18"/>
        </w:rPr>
      </w:pPr>
      <w:r>
        <w:rPr>
          <w:rFonts w:ascii="宋体" w:hAnsi="宋体" w:eastAsia="宋体" w:cs="宋体"/>
          <w:sz w:val="18"/>
          <w:szCs w:val="18"/>
        </w:rPr>
        <w:t>相关数据同比发生变动30%以上的原因说明</w:t>
      </w:r>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pStyle w:val="11"/>
        <w:spacing w:before="0" w:beforeAutospacing="0" w:after="0" w:afterAutospacing="0"/>
        <w:ind w:firstLine="357"/>
      </w:pPr>
      <w:r>
        <w:rPr>
          <w:rFonts w:hint="eastAsia"/>
          <w:sz w:val="18"/>
          <w:szCs w:val="18"/>
        </w:rPr>
        <w:t>水表产品库存量增长原因：水表产品库存包含仓库库存与发出商品</w:t>
      </w:r>
      <w:r>
        <w:rPr>
          <w:rFonts w:hint="eastAsia"/>
          <w:sz w:val="18"/>
          <w:szCs w:val="18"/>
          <w:lang w:eastAsia="zh-CN"/>
        </w:rPr>
        <w:t>。</w:t>
      </w:r>
      <w:r>
        <w:rPr>
          <w:rFonts w:hint="eastAsia"/>
          <w:sz w:val="18"/>
          <w:szCs w:val="18"/>
        </w:rPr>
        <w:t>2022年</w:t>
      </w:r>
      <w:r>
        <w:rPr>
          <w:rFonts w:hint="eastAsia"/>
          <w:sz w:val="18"/>
          <w:szCs w:val="18"/>
          <w:lang w:eastAsia="zh-CN"/>
        </w:rPr>
        <w:t>，</w:t>
      </w:r>
      <w:r>
        <w:rPr>
          <w:rFonts w:hint="eastAsia"/>
          <w:sz w:val="18"/>
          <w:szCs w:val="18"/>
          <w:lang w:val="en-US" w:eastAsia="zh-CN"/>
        </w:rPr>
        <w:t>因物流不畅及水表安装工程因经济下行因素影响导致项目施工进度延缓</w:t>
      </w:r>
      <w:r>
        <w:rPr>
          <w:rFonts w:hint="eastAsia"/>
          <w:sz w:val="18"/>
          <w:szCs w:val="18"/>
        </w:rPr>
        <w:t>，</w:t>
      </w:r>
      <w:r>
        <w:rPr>
          <w:rFonts w:hint="eastAsia"/>
          <w:sz w:val="18"/>
          <w:szCs w:val="18"/>
          <w:lang w:val="en-US" w:eastAsia="zh-CN"/>
        </w:rPr>
        <w:t>以致产品</w:t>
      </w:r>
      <w:r>
        <w:rPr>
          <w:rFonts w:hint="eastAsia"/>
          <w:sz w:val="18"/>
          <w:szCs w:val="18"/>
        </w:rPr>
        <w:t>仓库</w:t>
      </w:r>
      <w:r>
        <w:rPr>
          <w:rFonts w:hint="eastAsia"/>
          <w:sz w:val="18"/>
          <w:szCs w:val="18"/>
          <w:lang w:val="en-US" w:eastAsia="zh-CN"/>
        </w:rPr>
        <w:t>库存与发出商品均较上年有所增长。</w:t>
      </w:r>
    </w:p>
    <w:p>
      <w:pPr>
        <w:keepNext/>
        <w:keepLines/>
        <w:spacing w:before="300" w:after="300" w:line="280" w:lineRule="exact"/>
        <w:outlineLvl w:val="3"/>
        <w:rPr>
          <w:rFonts w:ascii="宋体" w:hAnsi="宋体" w:eastAsia="宋体" w:cs="宋体"/>
          <w:b/>
          <w:bCs/>
          <w:sz w:val="18"/>
          <w:szCs w:val="18"/>
        </w:rPr>
      </w:pPr>
      <w:bookmarkStart w:id="24" w:name="_Toc988911"/>
      <w:r>
        <w:rPr>
          <w:rFonts w:ascii="宋体" w:hAnsi="宋体" w:eastAsia="宋体" w:cs="宋体"/>
          <w:b/>
          <w:bCs/>
          <w:sz w:val="18"/>
          <w:szCs w:val="18"/>
        </w:rPr>
        <w:t>（4） 公司已签订的重大销售合同、重大采购合同截至本报告期的履行情况</w:t>
      </w:r>
      <w:bookmarkEnd w:id="24"/>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keepNext/>
        <w:keepLines/>
        <w:spacing w:before="300" w:after="300" w:line="280" w:lineRule="exact"/>
        <w:outlineLvl w:val="3"/>
        <w:rPr>
          <w:rFonts w:ascii="宋体" w:hAnsi="宋体" w:eastAsia="宋体" w:cs="宋体"/>
          <w:b/>
          <w:bCs/>
          <w:sz w:val="18"/>
          <w:szCs w:val="18"/>
        </w:rPr>
      </w:pPr>
      <w:bookmarkStart w:id="25" w:name="_Toc988912"/>
      <w:r>
        <w:rPr>
          <w:rFonts w:ascii="宋体" w:hAnsi="宋体" w:eastAsia="宋体" w:cs="宋体"/>
          <w:b/>
          <w:bCs/>
          <w:sz w:val="18"/>
          <w:szCs w:val="18"/>
        </w:rPr>
        <w:t>（5） 营业成本构成</w:t>
      </w:r>
      <w:bookmarkEnd w:id="25"/>
    </w:p>
    <w:p>
      <w:pPr>
        <w:spacing w:before="40" w:after="40" w:line="240" w:lineRule="exact"/>
        <w:rPr>
          <w:rFonts w:ascii="宋体" w:hAnsi="宋体" w:eastAsia="宋体" w:cs="宋体"/>
          <w:sz w:val="18"/>
          <w:szCs w:val="18"/>
        </w:rPr>
      </w:pPr>
      <w:r>
        <w:rPr>
          <w:rFonts w:ascii="宋体" w:hAnsi="宋体" w:eastAsia="宋体" w:cs="宋体"/>
          <w:sz w:val="18"/>
          <w:szCs w:val="18"/>
        </w:rPr>
        <w:t>产品分类</w:t>
      </w:r>
    </w:p>
    <w:p>
      <w:pPr>
        <w:spacing w:before="100" w:after="100" w:line="240" w:lineRule="exact"/>
        <w:rPr>
          <w:rFonts w:ascii="宋体" w:hAnsi="宋体" w:eastAsia="宋体" w:cs="宋体"/>
          <w:sz w:val="18"/>
          <w:szCs w:val="18"/>
        </w:rPr>
      </w:pPr>
      <w:r>
        <w:rPr>
          <w:rFonts w:ascii="宋体" w:hAnsi="宋体" w:eastAsia="宋体" w:cs="宋体"/>
          <w:sz w:val="18"/>
          <w:szCs w:val="18"/>
        </w:rPr>
        <w:t>产品分类</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499"/>
        <w:gridCol w:w="1255"/>
        <w:gridCol w:w="1580"/>
        <w:gridCol w:w="1174"/>
        <w:gridCol w:w="137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产品分类</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754"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w:t>
            </w:r>
          </w:p>
        </w:tc>
        <w:tc>
          <w:tcPr>
            <w:tcW w:w="2754"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2021年</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同比增减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49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25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占营业成本比重</w:t>
            </w:r>
          </w:p>
        </w:tc>
        <w:tc>
          <w:tcPr>
            <w:tcW w:w="158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17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占营业成本比重</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水表</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原材料</w:t>
            </w:r>
          </w:p>
        </w:tc>
        <w:tc>
          <w:tcPr>
            <w:tcW w:w="149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535,720,312.60</w:t>
            </w:r>
          </w:p>
        </w:tc>
        <w:tc>
          <w:tcPr>
            <w:tcW w:w="12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90.56%</w:t>
            </w:r>
          </w:p>
        </w:tc>
        <w:tc>
          <w:tcPr>
            <w:tcW w:w="15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472,565,865.65</w:t>
            </w:r>
          </w:p>
        </w:tc>
        <w:tc>
          <w:tcPr>
            <w:tcW w:w="11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90.04%</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0.52%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水表</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人工</w:t>
            </w:r>
          </w:p>
        </w:tc>
        <w:tc>
          <w:tcPr>
            <w:tcW w:w="149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32,556,666.24</w:t>
            </w:r>
          </w:p>
        </w:tc>
        <w:tc>
          <w:tcPr>
            <w:tcW w:w="12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5.50%</w:t>
            </w:r>
          </w:p>
        </w:tc>
        <w:tc>
          <w:tcPr>
            <w:tcW w:w="15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28,536,214.24</w:t>
            </w:r>
          </w:p>
        </w:tc>
        <w:tc>
          <w:tcPr>
            <w:tcW w:w="11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5.44%</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水表</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制造费用等</w:t>
            </w:r>
          </w:p>
        </w:tc>
        <w:tc>
          <w:tcPr>
            <w:tcW w:w="149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23,300,122.42</w:t>
            </w:r>
          </w:p>
        </w:tc>
        <w:tc>
          <w:tcPr>
            <w:tcW w:w="12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3.94%</w:t>
            </w:r>
          </w:p>
        </w:tc>
        <w:tc>
          <w:tcPr>
            <w:tcW w:w="15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23,745,833.46</w:t>
            </w:r>
          </w:p>
        </w:tc>
        <w:tc>
          <w:tcPr>
            <w:tcW w:w="11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4.52%</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-0.59%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自来水</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原材料</w:t>
            </w:r>
          </w:p>
        </w:tc>
        <w:tc>
          <w:tcPr>
            <w:tcW w:w="149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235,701.99</w:t>
            </w:r>
          </w:p>
        </w:tc>
        <w:tc>
          <w:tcPr>
            <w:tcW w:w="12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2.73%</w:t>
            </w:r>
          </w:p>
        </w:tc>
        <w:tc>
          <w:tcPr>
            <w:tcW w:w="15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149,140.01</w:t>
            </w:r>
          </w:p>
        </w:tc>
        <w:tc>
          <w:tcPr>
            <w:tcW w:w="11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1.98%</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自来水</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人工</w:t>
            </w:r>
          </w:p>
        </w:tc>
        <w:tc>
          <w:tcPr>
            <w:tcW w:w="149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1,957,835.55</w:t>
            </w:r>
          </w:p>
        </w:tc>
        <w:tc>
          <w:tcPr>
            <w:tcW w:w="12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22.65%</w:t>
            </w:r>
          </w:p>
        </w:tc>
        <w:tc>
          <w:tcPr>
            <w:tcW w:w="15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1,806,563.02</w:t>
            </w:r>
          </w:p>
        </w:tc>
        <w:tc>
          <w:tcPr>
            <w:tcW w:w="11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23.98%</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自来水</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制造费用</w:t>
            </w:r>
          </w:p>
        </w:tc>
        <w:tc>
          <w:tcPr>
            <w:tcW w:w="149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4,173,541.22</w:t>
            </w:r>
          </w:p>
        </w:tc>
        <w:tc>
          <w:tcPr>
            <w:tcW w:w="12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48.28%</w:t>
            </w:r>
          </w:p>
        </w:tc>
        <w:tc>
          <w:tcPr>
            <w:tcW w:w="15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3,408,568.40</w:t>
            </w:r>
          </w:p>
        </w:tc>
        <w:tc>
          <w:tcPr>
            <w:tcW w:w="11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45.25%</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自来水</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输配成本</w:t>
            </w:r>
          </w:p>
        </w:tc>
        <w:tc>
          <w:tcPr>
            <w:tcW w:w="149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2,277,521.34</w:t>
            </w:r>
          </w:p>
        </w:tc>
        <w:tc>
          <w:tcPr>
            <w:tcW w:w="12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26.35%</w:t>
            </w:r>
          </w:p>
        </w:tc>
        <w:tc>
          <w:tcPr>
            <w:tcW w:w="15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2,167,958.82</w:t>
            </w:r>
          </w:p>
        </w:tc>
        <w:tc>
          <w:tcPr>
            <w:tcW w:w="11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28.78%</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供水工程</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材料</w:t>
            </w:r>
          </w:p>
        </w:tc>
        <w:tc>
          <w:tcPr>
            <w:tcW w:w="149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10,030,216.60</w:t>
            </w:r>
          </w:p>
        </w:tc>
        <w:tc>
          <w:tcPr>
            <w:tcW w:w="12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58.39%</w:t>
            </w:r>
          </w:p>
        </w:tc>
        <w:tc>
          <w:tcPr>
            <w:tcW w:w="15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10,007,229.81</w:t>
            </w:r>
          </w:p>
        </w:tc>
        <w:tc>
          <w:tcPr>
            <w:tcW w:w="11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64.62%</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供水工程</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人工</w:t>
            </w:r>
          </w:p>
        </w:tc>
        <w:tc>
          <w:tcPr>
            <w:tcW w:w="149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1,081,633.05</w:t>
            </w:r>
          </w:p>
        </w:tc>
        <w:tc>
          <w:tcPr>
            <w:tcW w:w="12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6.30%</w:t>
            </w:r>
          </w:p>
        </w:tc>
        <w:tc>
          <w:tcPr>
            <w:tcW w:w="15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962,066.55</w:t>
            </w:r>
          </w:p>
        </w:tc>
        <w:tc>
          <w:tcPr>
            <w:tcW w:w="11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6.21%</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供水工程</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土建及其他</w:t>
            </w:r>
          </w:p>
        </w:tc>
        <w:tc>
          <w:tcPr>
            <w:tcW w:w="149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6,066,989.37</w:t>
            </w:r>
          </w:p>
        </w:tc>
        <w:tc>
          <w:tcPr>
            <w:tcW w:w="12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35.32%</w:t>
            </w:r>
          </w:p>
        </w:tc>
        <w:tc>
          <w:tcPr>
            <w:tcW w:w="15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4,515,893.71</w:t>
            </w:r>
          </w:p>
        </w:tc>
        <w:tc>
          <w:tcPr>
            <w:tcW w:w="11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29.16%</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稀土氧化物</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原材料</w:t>
            </w:r>
          </w:p>
        </w:tc>
        <w:tc>
          <w:tcPr>
            <w:tcW w:w="149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281,954,316.03</w:t>
            </w:r>
          </w:p>
        </w:tc>
        <w:tc>
          <w:tcPr>
            <w:tcW w:w="12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96.80%</w:t>
            </w:r>
          </w:p>
        </w:tc>
        <w:tc>
          <w:tcPr>
            <w:tcW w:w="15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稀土氧化物</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人工</w:t>
            </w:r>
          </w:p>
        </w:tc>
        <w:tc>
          <w:tcPr>
            <w:tcW w:w="149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2,109,971.38</w:t>
            </w:r>
          </w:p>
        </w:tc>
        <w:tc>
          <w:tcPr>
            <w:tcW w:w="12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0.72%</w:t>
            </w:r>
          </w:p>
        </w:tc>
        <w:tc>
          <w:tcPr>
            <w:tcW w:w="15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稀土氧化物</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制造费用</w:t>
            </w:r>
          </w:p>
        </w:tc>
        <w:tc>
          <w:tcPr>
            <w:tcW w:w="149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7,199,020.05</w:t>
            </w:r>
          </w:p>
        </w:tc>
        <w:tc>
          <w:tcPr>
            <w:tcW w:w="12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2.47%</w:t>
            </w:r>
          </w:p>
        </w:tc>
        <w:tc>
          <w:tcPr>
            <w:tcW w:w="15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spacing w:before="100" w:after="100" w:line="240" w:lineRule="exact"/>
        <w:rPr>
          <w:rFonts w:ascii="宋体" w:hAnsi="宋体" w:eastAsia="宋体" w:cs="宋体"/>
          <w:sz w:val="18"/>
          <w:szCs w:val="18"/>
        </w:rPr>
      </w:pPr>
      <w:r>
        <w:rPr>
          <w:rFonts w:ascii="宋体" w:hAnsi="宋体" w:eastAsia="宋体" w:cs="宋体"/>
          <w:sz w:val="18"/>
          <w:szCs w:val="18"/>
        </w:rPr>
        <w:t>说明</w:t>
      </w:r>
    </w:p>
    <w:p>
      <w:pPr>
        <w:pStyle w:val="11"/>
        <w:spacing w:before="0" w:beforeAutospacing="0" w:after="0" w:afterAutospacing="0"/>
        <w:rPr>
          <w:rFonts w:ascii="Times New Roman" w:hAnsi="Times New Roman" w:cs="Times New Roman"/>
          <w:sz w:val="18"/>
          <w:szCs w:val="18"/>
        </w:rPr>
      </w:pPr>
      <w:r>
        <w:rPr>
          <w:rFonts w:hint="eastAsia" w:cs="Times New Roman"/>
          <w:sz w:val="18"/>
          <w:szCs w:val="18"/>
        </w:rPr>
        <w:t>公司供水工程由于工程项目不同，其材料、人工、土建等成本构成项目的比重会发生变化。</w:t>
      </w:r>
    </w:p>
    <w:p>
      <w:pPr>
        <w:keepNext/>
        <w:keepLines/>
        <w:spacing w:before="300" w:after="300" w:line="280" w:lineRule="exact"/>
        <w:outlineLvl w:val="3"/>
        <w:rPr>
          <w:rFonts w:ascii="宋体" w:hAnsi="宋体" w:eastAsia="宋体" w:cs="宋体"/>
          <w:b/>
          <w:bCs/>
          <w:sz w:val="18"/>
          <w:szCs w:val="18"/>
        </w:rPr>
      </w:pPr>
      <w:bookmarkStart w:id="26" w:name="_Toc988913"/>
      <w:r>
        <w:rPr>
          <w:rFonts w:ascii="宋体" w:hAnsi="宋体" w:eastAsia="宋体" w:cs="宋体"/>
          <w:b/>
          <w:bCs/>
          <w:sz w:val="18"/>
          <w:szCs w:val="18"/>
        </w:rPr>
        <w:t>（6） 报告期内合并范围是否发生变动</w:t>
      </w:r>
      <w:bookmarkEnd w:id="26"/>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是 □否</w:t>
      </w:r>
    </w:p>
    <w:p>
      <w:pPr>
        <w:pStyle w:val="11"/>
        <w:spacing w:before="0" w:beforeAutospacing="0" w:after="0" w:afterAutospacing="0"/>
        <w:ind w:firstLine="360" w:firstLineChars="200"/>
        <w:rPr>
          <w:rFonts w:ascii="Times New Roman" w:hAnsi="Times New Roman" w:cs="Times New Roman"/>
        </w:rPr>
      </w:pPr>
      <w:r>
        <w:rPr>
          <w:rFonts w:hint="eastAsia" w:cs="Times New Roman"/>
          <w:sz w:val="18"/>
          <w:szCs w:val="18"/>
        </w:rPr>
        <w:t>  报告期内，公司新设全资子公司</w:t>
      </w:r>
      <w:r>
        <w:rPr>
          <w:rFonts w:hint="eastAsia" w:cs="Times New Roman"/>
          <w:sz w:val="18"/>
          <w:szCs w:val="18"/>
          <w:shd w:val="clear" w:color="auto" w:fill="FFFFFF"/>
        </w:rPr>
        <w:t>赣州三川稀土有限责任公司，</w:t>
      </w:r>
      <w:r>
        <w:rPr>
          <w:rFonts w:hint="eastAsia" w:cs="Times New Roman"/>
          <w:sz w:val="18"/>
          <w:szCs w:val="18"/>
        </w:rPr>
        <w:t>新设控股子公司赣州川宇国际贸易有限公司，收购赣州天和永磁材料有限公司67%的股权使其成为公司控股子公司，该等公司纳入本报告期合并范围；注销全资子公司江西三川水务有限公司和控股子公司上海三川爱水科技有限公司，不再纳入合并报表范围。</w:t>
      </w:r>
    </w:p>
    <w:p>
      <w:pPr>
        <w:keepNext/>
        <w:keepLines/>
        <w:spacing w:before="300" w:after="300" w:line="280" w:lineRule="exact"/>
        <w:outlineLvl w:val="3"/>
        <w:rPr>
          <w:rFonts w:ascii="宋体" w:hAnsi="宋体" w:eastAsia="宋体" w:cs="宋体"/>
          <w:b/>
          <w:bCs/>
          <w:sz w:val="18"/>
          <w:szCs w:val="18"/>
        </w:rPr>
      </w:pPr>
      <w:bookmarkStart w:id="27" w:name="_Toc988914"/>
      <w:r>
        <w:rPr>
          <w:rFonts w:ascii="宋体" w:hAnsi="宋体" w:eastAsia="宋体" w:cs="宋体"/>
          <w:b/>
          <w:bCs/>
          <w:sz w:val="18"/>
          <w:szCs w:val="18"/>
        </w:rPr>
        <w:t>（7） 公司报告期内业务、产品或服务发生重大变化或调整有关情况</w:t>
      </w:r>
      <w:bookmarkEnd w:id="27"/>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pStyle w:val="11"/>
        <w:spacing w:before="0" w:beforeAutospacing="0" w:after="0" w:afterAutospacing="0"/>
        <w:ind w:firstLine="357"/>
        <w:rPr>
          <w:rFonts w:ascii="等线" w:hAnsi="等线" w:eastAsia="等线"/>
          <w:sz w:val="21"/>
          <w:szCs w:val="21"/>
        </w:rPr>
      </w:pPr>
      <w:r>
        <w:rPr>
          <w:rFonts w:hint="eastAsia"/>
          <w:sz w:val="18"/>
          <w:szCs w:val="18"/>
        </w:rPr>
        <w:t>报告期内公司收购了天和永磁原股东67%的股份，天和永磁成为公司子公司，公司业务进入稀土资源回收利用行业。</w:t>
      </w:r>
    </w:p>
    <w:p>
      <w:pPr>
        <w:pStyle w:val="11"/>
        <w:spacing w:before="0" w:beforeAutospacing="0" w:after="0" w:afterAutospacing="0"/>
        <w:ind w:firstLine="357"/>
        <w:rPr>
          <w:rFonts w:ascii="等线" w:hAnsi="等线" w:eastAsia="等线"/>
          <w:sz w:val="21"/>
          <w:szCs w:val="21"/>
        </w:rPr>
      </w:pPr>
      <w:r>
        <w:rPr>
          <w:rFonts w:hint="eastAsia"/>
          <w:sz w:val="18"/>
          <w:szCs w:val="18"/>
        </w:rPr>
        <w:t>合并日至报告期末天和永磁累计销售氧化镨钕、氧化镝、氧化铽、氧化钆、氧化钬等稀土氧化物316吨，销售收入31,936.80万元，实现净利润2,559.33万元。</w:t>
      </w:r>
    </w:p>
    <w:p>
      <w:pPr>
        <w:keepNext/>
        <w:keepLines/>
        <w:spacing w:before="300" w:after="300" w:line="280" w:lineRule="exact"/>
        <w:outlineLvl w:val="3"/>
        <w:rPr>
          <w:rFonts w:ascii="宋体" w:hAnsi="宋体" w:eastAsia="宋体" w:cs="宋体"/>
          <w:b/>
          <w:bCs/>
          <w:sz w:val="18"/>
          <w:szCs w:val="18"/>
        </w:rPr>
      </w:pPr>
      <w:bookmarkStart w:id="28" w:name="_Toc988915"/>
      <w:r>
        <w:rPr>
          <w:rFonts w:ascii="宋体" w:hAnsi="宋体" w:eastAsia="宋体" w:cs="宋体"/>
          <w:b/>
          <w:bCs/>
          <w:sz w:val="18"/>
          <w:szCs w:val="18"/>
        </w:rPr>
        <w:t>（8） 主要销售客户和主要供应商情况</w:t>
      </w:r>
      <w:bookmarkEnd w:id="28"/>
    </w:p>
    <w:p>
      <w:pPr>
        <w:spacing w:before="40" w:after="40" w:line="240" w:lineRule="exact"/>
        <w:rPr>
          <w:rFonts w:ascii="宋体" w:hAnsi="宋体" w:eastAsia="宋体" w:cs="宋体"/>
          <w:sz w:val="18"/>
          <w:szCs w:val="18"/>
        </w:rPr>
      </w:pPr>
      <w:r>
        <w:rPr>
          <w:rFonts w:ascii="宋体" w:hAnsi="宋体" w:eastAsia="宋体" w:cs="宋体"/>
          <w:sz w:val="18"/>
          <w:szCs w:val="18"/>
        </w:rPr>
        <w:t>公司主要销售客户情况</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前五名客户合计销售金额（元）</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185,801,545.74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前五名客户合计销售金额占年度销售总额比例</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前五名客户销售额中关联方销售额占年度销售总额比例</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bl>
    <w:p>
      <w:pPr>
        <w:spacing w:before="100" w:after="100" w:line="240" w:lineRule="exact"/>
        <w:rPr>
          <w:rFonts w:ascii="宋体" w:hAnsi="宋体" w:eastAsia="宋体" w:cs="宋体"/>
          <w:sz w:val="18"/>
          <w:szCs w:val="18"/>
        </w:rPr>
      </w:pPr>
    </w:p>
    <w:p>
      <w:pPr>
        <w:spacing w:before="100" w:after="100" w:line="240" w:lineRule="exact"/>
        <w:rPr>
          <w:rFonts w:ascii="宋体" w:hAnsi="宋体" w:eastAsia="宋体" w:cs="宋体"/>
          <w:sz w:val="18"/>
          <w:szCs w:val="18"/>
        </w:rPr>
      </w:pPr>
      <w:r>
        <w:rPr>
          <w:rFonts w:ascii="宋体" w:hAnsi="宋体" w:eastAsia="宋体" w:cs="宋体"/>
          <w:sz w:val="18"/>
          <w:szCs w:val="18"/>
        </w:rPr>
        <w:t>公司前5大客户资料</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序号</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客户名称</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销售额（元）</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占年度销售总额比例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1</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第一名</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73,356,637.00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第二名</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33,987,047.50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3</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第三名</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28,141,592.83</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第四名</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26,245,471.91</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5</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第五名</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24,070,796.50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185,801,545.74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13.95%</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主要客户其他情况说明</w:t>
      </w:r>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pStyle w:val="11"/>
        <w:spacing w:before="40" w:beforeAutospacing="0" w:after="40" w:afterAutospacing="0"/>
        <w:ind w:firstLine="360"/>
        <w:rPr>
          <w:rFonts w:ascii="Times New Roman" w:hAnsi="Times New Roman" w:cs="Times New Roman"/>
          <w:sz w:val="18"/>
          <w:szCs w:val="18"/>
        </w:rPr>
      </w:pPr>
      <w:r>
        <w:rPr>
          <w:rFonts w:hint="eastAsia" w:cs="Times New Roman"/>
          <w:sz w:val="18"/>
          <w:szCs w:val="18"/>
        </w:rPr>
        <w:t>公司前五名客户与公司不存在关联关系，公司董事、监事、高级管理人员、核心技术人员、持股</w:t>
      </w:r>
      <w:r>
        <w:rPr>
          <w:rFonts w:ascii="Times New Roman" w:hAnsi="Times New Roman" w:cs="Times New Roman"/>
          <w:sz w:val="18"/>
          <w:szCs w:val="18"/>
        </w:rPr>
        <w:t>5%</w:t>
      </w:r>
      <w:r>
        <w:rPr>
          <w:rFonts w:hint="eastAsia" w:cs="Times New Roman"/>
          <w:sz w:val="18"/>
          <w:szCs w:val="18"/>
        </w:rPr>
        <w:t>以上股东、实际控制人和其他关联方在主要客户中未直接或间接拥有权益。</w:t>
      </w:r>
    </w:p>
    <w:p>
      <w:pPr>
        <w:spacing w:before="40" w:after="40" w:line="240" w:lineRule="exact"/>
        <w:rPr>
          <w:rFonts w:ascii="宋体" w:hAnsi="宋体" w:eastAsia="宋体" w:cs="宋体"/>
          <w:sz w:val="18"/>
          <w:szCs w:val="18"/>
        </w:rPr>
      </w:pPr>
      <w:r>
        <w:rPr>
          <w:rFonts w:ascii="宋体" w:hAnsi="宋体" w:eastAsia="宋体" w:cs="宋体"/>
          <w:sz w:val="18"/>
          <w:szCs w:val="18"/>
        </w:rPr>
        <w:t>公司主要供应商情况</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前五名供应商合计采购金额（元）</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187,537,067.72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前五名供应商合计采购金额占年度采购总额比例</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19.26%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前五名供应商采购额中关联方采购额占年度采购总额比例</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3.72%</w:t>
            </w:r>
          </w:p>
        </w:tc>
      </w:tr>
    </w:tbl>
    <w:p>
      <w:pPr>
        <w:spacing w:before="40" w:after="40" w:line="240" w:lineRule="exact"/>
        <w:rPr>
          <w:rFonts w:ascii="宋体" w:hAnsi="宋体" w:eastAsia="宋体" w:cs="宋体"/>
          <w:sz w:val="18"/>
          <w:szCs w:val="18"/>
        </w:rPr>
      </w:pPr>
    </w:p>
    <w:p>
      <w:pPr>
        <w:pStyle w:val="6"/>
        <w:rPr>
          <w:rFonts w:ascii="宋体" w:hAnsi="宋体" w:eastAsia="宋体" w:cs="宋体"/>
          <w:sz w:val="18"/>
          <w:szCs w:val="18"/>
        </w:rPr>
      </w:pPr>
    </w:p>
    <w:p>
      <w:pPr>
        <w:pStyle w:val="6"/>
        <w:rPr>
          <w:rFonts w:ascii="宋体" w:hAnsi="宋体" w:eastAsia="宋体" w:cs="宋体"/>
          <w:sz w:val="18"/>
          <w:szCs w:val="18"/>
        </w:rPr>
      </w:pPr>
    </w:p>
    <w:p>
      <w:pPr>
        <w:spacing w:before="40" w:after="40" w:line="240" w:lineRule="exact"/>
        <w:rPr>
          <w:rFonts w:ascii="宋体" w:hAnsi="宋体" w:eastAsia="宋体" w:cs="宋体"/>
          <w:sz w:val="18"/>
          <w:szCs w:val="18"/>
        </w:rPr>
      </w:pPr>
    </w:p>
    <w:p>
      <w:pPr>
        <w:spacing w:before="40" w:after="40" w:line="240" w:lineRule="exact"/>
        <w:rPr>
          <w:rFonts w:ascii="宋体" w:hAnsi="宋体" w:eastAsia="宋体" w:cs="宋体"/>
          <w:sz w:val="18"/>
          <w:szCs w:val="18"/>
        </w:rPr>
      </w:pPr>
      <w:r>
        <w:rPr>
          <w:rFonts w:ascii="宋体" w:hAnsi="宋体" w:eastAsia="宋体" w:cs="宋体"/>
          <w:sz w:val="18"/>
          <w:szCs w:val="18"/>
        </w:rPr>
        <w:t>公司前5名供应商资料</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836"/>
        <w:gridCol w:w="1984"/>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序号</w:t>
            </w:r>
          </w:p>
        </w:tc>
        <w:tc>
          <w:tcPr>
            <w:tcW w:w="283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供应商名称</w:t>
            </w:r>
          </w:p>
        </w:tc>
        <w:tc>
          <w:tcPr>
            <w:tcW w:w="198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采购额（元）</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占年度采购总额比例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1</w:t>
            </w:r>
          </w:p>
        </w:tc>
        <w:tc>
          <w:tcPr>
            <w:tcW w:w="283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第一名</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43,252,945.41</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w:t>
            </w:r>
          </w:p>
        </w:tc>
        <w:tc>
          <w:tcPr>
            <w:tcW w:w="283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第二名</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42,569,809.84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3</w:t>
            </w:r>
          </w:p>
        </w:tc>
        <w:tc>
          <w:tcPr>
            <w:tcW w:w="283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第三名</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38,854,197.15</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4</w:t>
            </w:r>
          </w:p>
        </w:tc>
        <w:tc>
          <w:tcPr>
            <w:tcW w:w="283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江西三川埃尔斯特水表有限公司</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36,190,151.81</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5</w:t>
            </w:r>
          </w:p>
        </w:tc>
        <w:tc>
          <w:tcPr>
            <w:tcW w:w="283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第五名</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26,669,963.51</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c>
          <w:tcPr>
            <w:tcW w:w="283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187,537,067.72</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19.26%</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主要供应商其他情况说明</w:t>
      </w:r>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pStyle w:val="11"/>
        <w:spacing w:before="40" w:beforeAutospacing="0" w:after="40" w:afterAutospacing="0"/>
        <w:ind w:firstLine="360"/>
        <w:rPr>
          <w:rFonts w:ascii="Times New Roman" w:hAnsi="Times New Roman" w:cs="Times New Roman"/>
          <w:sz w:val="18"/>
          <w:szCs w:val="18"/>
        </w:rPr>
      </w:pPr>
      <w:r>
        <w:rPr>
          <w:rFonts w:hint="eastAsia" w:cs="Times New Roman"/>
          <w:sz w:val="18"/>
          <w:szCs w:val="18"/>
        </w:rPr>
        <w:t>公司前五名供应商中江西三川埃尔斯特水表有限公司是本公司的联营企业，除此之外公司董事、监事、高级管理人员、核心技术人员、持股</w:t>
      </w:r>
      <w:r>
        <w:rPr>
          <w:rFonts w:ascii="Times New Roman" w:hAnsi="Times New Roman" w:cs="Times New Roman"/>
          <w:sz w:val="18"/>
          <w:szCs w:val="18"/>
        </w:rPr>
        <w:t>5%</w:t>
      </w:r>
      <w:r>
        <w:rPr>
          <w:rFonts w:hint="eastAsia" w:cs="Times New Roman"/>
          <w:sz w:val="18"/>
          <w:szCs w:val="18"/>
        </w:rPr>
        <w:t>以上股东、实际控制人和其他关联方在主要供应商中未直接或间接拥有权益。</w:t>
      </w:r>
    </w:p>
    <w:p>
      <w:pPr>
        <w:pStyle w:val="4"/>
        <w:spacing w:line="280" w:lineRule="exact"/>
        <w:jc w:val="left"/>
        <w:rPr>
          <w:rFonts w:ascii="宋体" w:hAnsi="宋体" w:cs="宋体"/>
          <w:b/>
          <w:bCs/>
        </w:rPr>
      </w:pPr>
      <w:bookmarkStart w:id="29" w:name="_Toc988916"/>
      <w:r>
        <w:rPr>
          <w:rFonts w:ascii="宋体" w:hAnsi="宋体" w:cs="宋体"/>
          <w:b/>
          <w:bCs/>
        </w:rPr>
        <w:t>3、费用</w:t>
      </w:r>
      <w:bookmarkEnd w:id="29"/>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617"/>
        <w:gridCol w:w="1559"/>
        <w:gridCol w:w="1418"/>
        <w:gridCol w:w="311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6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w:t>
            </w:r>
          </w:p>
        </w:tc>
        <w:tc>
          <w:tcPr>
            <w:tcW w:w="155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2021年</w:t>
            </w:r>
          </w:p>
        </w:tc>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同比增减</w:t>
            </w:r>
          </w:p>
        </w:tc>
        <w:tc>
          <w:tcPr>
            <w:tcW w:w="31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重大变动说明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销售费用</w:t>
            </w:r>
          </w:p>
        </w:tc>
        <w:tc>
          <w:tcPr>
            <w:tcW w:w="16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99,437,656.01</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89,739,544.51</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10.81%</w:t>
            </w:r>
          </w:p>
        </w:tc>
        <w:tc>
          <w:tcPr>
            <w:tcW w:w="31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未发生重大变动，主要是销售业务薪酬增长所致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管理费用</w:t>
            </w:r>
          </w:p>
        </w:tc>
        <w:tc>
          <w:tcPr>
            <w:tcW w:w="16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61,871,497.71</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53,043,326.95</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16.64%</w:t>
            </w:r>
          </w:p>
        </w:tc>
        <w:tc>
          <w:tcPr>
            <w:tcW w:w="31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未发生重大变动，主要是人员薪酬增长及增加天和永磁合并单位所致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财务费用</w:t>
            </w:r>
          </w:p>
        </w:tc>
        <w:tc>
          <w:tcPr>
            <w:tcW w:w="16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-4,190,425.30</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-2,128,727.93</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96.85%</w:t>
            </w:r>
          </w:p>
        </w:tc>
        <w:tc>
          <w:tcPr>
            <w:tcW w:w="31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主要是利息收入增长及人民币汇率波动产生汇兑收益所致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研发费用</w:t>
            </w:r>
          </w:p>
        </w:tc>
        <w:tc>
          <w:tcPr>
            <w:tcW w:w="16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54,101,259.82</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53,546,119.13</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w:t>
            </w:r>
          </w:p>
        </w:tc>
        <w:tc>
          <w:tcPr>
            <w:tcW w:w="31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未发生重大变动</w:t>
            </w:r>
          </w:p>
        </w:tc>
      </w:tr>
    </w:tbl>
    <w:p>
      <w:pPr>
        <w:pStyle w:val="4"/>
        <w:spacing w:line="280" w:lineRule="exact"/>
        <w:jc w:val="left"/>
        <w:rPr>
          <w:rFonts w:ascii="宋体" w:hAnsi="宋体" w:cs="宋体"/>
          <w:b/>
          <w:bCs/>
        </w:rPr>
      </w:pPr>
      <w:bookmarkStart w:id="30" w:name="_Toc988917"/>
      <w:r>
        <w:rPr>
          <w:rFonts w:ascii="宋体" w:hAnsi="宋体" w:cs="宋体"/>
          <w:b/>
          <w:bCs/>
        </w:rPr>
        <w:t>4、研发投入</w:t>
      </w:r>
      <w:bookmarkEnd w:id="30"/>
    </w:p>
    <w:p>
      <w:pPr>
        <w:spacing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248"/>
        <w:gridCol w:w="2127"/>
        <w:gridCol w:w="240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主要研发项目名称</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项目目的</w:t>
            </w:r>
          </w:p>
        </w:tc>
        <w:tc>
          <w:tcPr>
            <w:tcW w:w="124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项目进展</w:t>
            </w:r>
          </w:p>
        </w:tc>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拟达到的目标</w:t>
            </w:r>
          </w:p>
        </w:tc>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预计对公司未来发展的影响</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超声波NB水表（澳洲新版）</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完善海外客户对于多感知超声波水表的需求，达到海外客户对于产品供货数量和质量的要求。</w:t>
            </w:r>
          </w:p>
        </w:tc>
        <w:tc>
          <w:tcPr>
            <w:tcW w:w="124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项目已完成</w:t>
            </w:r>
          </w:p>
        </w:tc>
        <w:tc>
          <w:tcPr>
            <w:tcW w:w="21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开发一款能够实时感知水量、水压、水温等多种参数的水表，同时在满足客户需求的过程中实现技术的迭代升级。</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该产品的成功研发与量产，有利于提升公司的整体研发实力，同时也为公司进一步拓展海外市场奠定坚实基础。</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新型降本版无磁NB水表产品化</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提高生产效率，降低产品成本。</w:t>
            </w:r>
          </w:p>
        </w:tc>
        <w:tc>
          <w:tcPr>
            <w:tcW w:w="124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项目已完成</w:t>
            </w:r>
          </w:p>
        </w:tc>
        <w:tc>
          <w:tcPr>
            <w:tcW w:w="21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降低电路复杂度，降低硬件电路成本；减少生产流程，降低生产成本，提高生产效率。</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拓展低成本产品线，提高中低端产品的价格竞争力；提供新的硬件方案，减少对原来方案依赖度，提高抗风险能力。</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小口径不锈钢超声NB阀控水表</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丰富公司的产品线，满足国内客户对于超声波水表的需求。</w:t>
            </w:r>
          </w:p>
        </w:tc>
        <w:tc>
          <w:tcPr>
            <w:tcW w:w="124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项目已完成</w:t>
            </w:r>
          </w:p>
        </w:tc>
        <w:tc>
          <w:tcPr>
            <w:tcW w:w="21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提升公司超声波水表产品的市场竞争力和占有率。</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有利于丰富公司产品线，提升品质，降低成本，提高核心竞争力。</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基于吾爱易达芯片无磁NB水表研发</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使用吾爱易达芯片完成无磁NB卡表开发。</w:t>
            </w:r>
          </w:p>
        </w:tc>
        <w:tc>
          <w:tcPr>
            <w:tcW w:w="124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项目已完成</w:t>
            </w:r>
          </w:p>
        </w:tc>
        <w:tc>
          <w:tcPr>
            <w:tcW w:w="21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在现有功能不受影响的前提下，完成芯片平台的替换移植，丰富公司产品。</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简化硬件，为水表提供新方案，提升产品竞争力；实现业务的协同。</w:t>
            </w:r>
          </w:p>
        </w:tc>
      </w:tr>
    </w:tbl>
    <w:p>
      <w:pPr>
        <w:spacing w:before="40" w:after="40" w:line="240" w:lineRule="exact"/>
        <w:rPr>
          <w:rFonts w:ascii="宋体" w:hAnsi="宋体" w:eastAsia="宋体" w:cs="宋体"/>
          <w:sz w:val="18"/>
          <w:szCs w:val="18"/>
        </w:rPr>
      </w:pPr>
    </w:p>
    <w:p>
      <w:pPr>
        <w:spacing w:before="40" w:after="40" w:line="240" w:lineRule="exact"/>
        <w:rPr>
          <w:rFonts w:ascii="宋体" w:hAnsi="宋体" w:eastAsia="宋体" w:cs="宋体"/>
          <w:sz w:val="18"/>
          <w:szCs w:val="18"/>
        </w:rPr>
      </w:pPr>
    </w:p>
    <w:p>
      <w:pPr>
        <w:spacing w:before="40" w:after="40" w:line="240" w:lineRule="exact"/>
        <w:rPr>
          <w:rFonts w:ascii="宋体" w:hAnsi="宋体" w:eastAsia="宋体" w:cs="宋体"/>
          <w:sz w:val="18"/>
          <w:szCs w:val="18"/>
        </w:rPr>
      </w:pPr>
    </w:p>
    <w:p>
      <w:pPr>
        <w:spacing w:before="40" w:after="40" w:line="240" w:lineRule="exact"/>
        <w:rPr>
          <w:rFonts w:ascii="宋体" w:hAnsi="宋体" w:eastAsia="宋体" w:cs="宋体"/>
          <w:sz w:val="18"/>
          <w:szCs w:val="18"/>
        </w:rPr>
      </w:pPr>
    </w:p>
    <w:p>
      <w:pPr>
        <w:spacing w:before="40" w:after="40" w:line="240" w:lineRule="exact"/>
        <w:rPr>
          <w:rFonts w:ascii="宋体" w:hAnsi="宋体" w:eastAsia="宋体" w:cs="宋体"/>
          <w:sz w:val="18"/>
          <w:szCs w:val="18"/>
        </w:rPr>
      </w:pPr>
      <w:r>
        <w:rPr>
          <w:rFonts w:ascii="宋体" w:hAnsi="宋体" w:eastAsia="宋体" w:cs="宋体"/>
          <w:sz w:val="18"/>
          <w:szCs w:val="18"/>
        </w:rPr>
        <w:t>公司研发人员情况</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2021年</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变动比例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研发人员数量（人）</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275</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10.55%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研发人员数量占比</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18.55%</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19.45%</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研发人员学历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本科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131</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硕士</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本科以下</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167</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137</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研发人员年龄构成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30岁以下</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116</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-17.24%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30~40岁</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18.46%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40岁以上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86.21%</w:t>
            </w:r>
          </w:p>
        </w:tc>
      </w:tr>
    </w:tbl>
    <w:p>
      <w:pPr>
        <w:spacing w:before="40" w:after="40" w:line="240" w:lineRule="exact"/>
        <w:rPr>
          <w:rFonts w:ascii="宋体" w:hAnsi="宋体" w:eastAsia="宋体" w:cs="宋体"/>
          <w:sz w:val="18"/>
          <w:szCs w:val="18"/>
        </w:rPr>
      </w:pPr>
    </w:p>
    <w:p>
      <w:pPr>
        <w:spacing w:before="40" w:after="40" w:line="240" w:lineRule="exact"/>
        <w:rPr>
          <w:rFonts w:ascii="宋体" w:hAnsi="宋体" w:eastAsia="宋体" w:cs="宋体"/>
          <w:sz w:val="18"/>
          <w:szCs w:val="18"/>
        </w:rPr>
      </w:pPr>
      <w:r>
        <w:rPr>
          <w:rFonts w:ascii="宋体" w:hAnsi="宋体" w:eastAsia="宋体" w:cs="宋体"/>
          <w:sz w:val="18"/>
          <w:szCs w:val="18"/>
        </w:rPr>
        <w:t>近三年公司研发投入金额及占营业收入的比例</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2021年</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2020年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研发投入金额（元）</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54,101,259.82</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57,381,196.40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52,714,571.35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研发投入占营业收入比例</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4.06%</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6.12%</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研发支出资本化的金额（元）</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3,835,077.27</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资本化研发支出占研发投入的比例</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6.68%</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资本化研发支出占当期净利润的比重</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公司研发人员构成发生重大变化的原因及影响</w:t>
      </w:r>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spacing w:before="100" w:after="100"/>
        <w:ind w:firstLine="360" w:firstLineChars="200"/>
        <w:rPr>
          <w:rFonts w:ascii="宋体" w:hAnsi="宋体" w:eastAsia="宋体" w:cs="宋体"/>
          <w:sz w:val="18"/>
          <w:szCs w:val="18"/>
        </w:rPr>
      </w:pPr>
      <w:r>
        <w:rPr>
          <w:rFonts w:hint="eastAsia" w:ascii="宋体" w:hAnsi="宋体" w:eastAsia="宋体" w:cs="宋体"/>
          <w:sz w:val="18"/>
          <w:szCs w:val="18"/>
        </w:rPr>
        <w:t>报告期内天和永磁纳入公司合并范围内，因此研发人员总数增加但占比略有下降；同时由于天和永磁所处行业特殊性，其研发人员相对学历偏低、年龄偏大，故导致公司40岁以上、本科以下的研发人员占比上升。</w:t>
      </w:r>
    </w:p>
    <w:p>
      <w:pPr>
        <w:spacing w:before="100" w:after="100" w:line="240" w:lineRule="exact"/>
        <w:rPr>
          <w:rFonts w:ascii="宋体" w:hAnsi="宋体" w:eastAsia="宋体" w:cs="宋体"/>
          <w:sz w:val="18"/>
          <w:szCs w:val="18"/>
        </w:rPr>
      </w:pPr>
      <w:r>
        <w:rPr>
          <w:rFonts w:ascii="宋体" w:hAnsi="宋体" w:eastAsia="宋体" w:cs="宋体"/>
          <w:sz w:val="18"/>
          <w:szCs w:val="18"/>
        </w:rPr>
        <w:t>研发投入总额占营业收入的比重较上年发生显著变化的原因</w:t>
      </w:r>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spacing w:before="100" w:after="100"/>
        <w:ind w:firstLine="360" w:firstLineChars="200"/>
        <w:rPr>
          <w:rFonts w:ascii="宋体" w:hAnsi="宋体" w:eastAsia="宋体" w:cs="宋体"/>
          <w:sz w:val="18"/>
          <w:szCs w:val="18"/>
        </w:rPr>
      </w:pPr>
      <w:r>
        <w:rPr>
          <w:rFonts w:hint="eastAsia" w:ascii="宋体" w:hAnsi="宋体" w:eastAsia="宋体" w:cs="宋体"/>
          <w:sz w:val="18"/>
          <w:szCs w:val="18"/>
        </w:rPr>
        <w:t>报告期新增合并单位天和永磁，新增合并营业收入319,368,045.16元，该单位研发投入占其营业收入的比重为0.36%，受此影响公司报告期研发投入占营业收入的比重较上年下降。</w:t>
      </w:r>
    </w:p>
    <w:p>
      <w:pPr>
        <w:spacing w:before="100" w:after="100" w:line="240" w:lineRule="exact"/>
        <w:rPr>
          <w:rFonts w:ascii="宋体" w:hAnsi="宋体" w:eastAsia="宋体" w:cs="宋体"/>
          <w:sz w:val="18"/>
          <w:szCs w:val="18"/>
        </w:rPr>
      </w:pPr>
      <w:r>
        <w:rPr>
          <w:rFonts w:ascii="宋体" w:hAnsi="宋体" w:eastAsia="宋体" w:cs="宋体"/>
          <w:sz w:val="18"/>
          <w:szCs w:val="18"/>
        </w:rPr>
        <w:t>研发投入资本化率大幅变动的原因及其合理性说明</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pStyle w:val="4"/>
        <w:spacing w:line="280" w:lineRule="exact"/>
        <w:jc w:val="left"/>
        <w:rPr>
          <w:rFonts w:ascii="宋体" w:hAnsi="宋体" w:cs="宋体"/>
          <w:b/>
          <w:bCs/>
        </w:rPr>
      </w:pPr>
      <w:bookmarkStart w:id="31" w:name="_Toc988918"/>
      <w:r>
        <w:rPr>
          <w:rFonts w:ascii="宋体" w:hAnsi="宋体" w:cs="宋体"/>
          <w:b/>
          <w:bCs/>
        </w:rPr>
        <w:t>5、现金流</w:t>
      </w:r>
      <w:bookmarkEnd w:id="31"/>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402"/>
        <w:gridCol w:w="2410"/>
        <w:gridCol w:w="2126"/>
        <w:gridCol w:w="170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40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w:t>
            </w:r>
          </w:p>
        </w:tc>
        <w:tc>
          <w:tcPr>
            <w:tcW w:w="212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2021年</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同比增减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40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经营活动现金流入小计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1,569,216,565.62</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1,055,319,760.42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40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经营活动现金流出小计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1,558,420,640.31</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971,445,521.21</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60.42%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40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经营活动产生的现金流量净额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10,795,925.31</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83,874,239.21</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-87.13%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40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投资活动现金流入小计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796,053,790.24</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930,720,072.48</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-14.47%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40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投资活动现金流出小计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734,010,165.47</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863,603,265.35</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-15.01%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40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投资活动产生的现金流量净额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62,043,624.77</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67,116,807.13</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-7.56%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40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筹资活动现金流入小计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77,588,724.82</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24,035,000.00</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222.82%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40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筹资活动现金流出小计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67,720,588.33</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65,881,546.26</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40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筹资活动产生的现金流量净额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9,868,136.49</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-41,846,546.26</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-123.58%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40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现金及现金等价物净增加额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83,023,478.39</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108,911,355.33</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-23.77%</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相关数据同比发生重大变动的主要影响因素说明</w:t>
      </w:r>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w:t>
      </w:r>
      <w:r>
        <w:rPr>
          <w:rFonts w:ascii="宋体" w:hAnsi="宋体" w:eastAsia="宋体" w:cs="宋体"/>
          <w:sz w:val="18"/>
          <w:szCs w:val="18"/>
        </w:rPr>
        <w:t>1</w:t>
      </w:r>
      <w:r>
        <w:rPr>
          <w:rFonts w:hint="eastAsia" w:ascii="宋体" w:hAnsi="宋体" w:eastAsia="宋体" w:cs="宋体"/>
          <w:sz w:val="18"/>
          <w:szCs w:val="18"/>
        </w:rPr>
        <w:t>）经营活动产生的现金流重大变动的主要因素</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①经营活动现金流入：报告期增加合并单位天和永磁，同比增加销售商品、收到的税费返还、收到的政府补助等现金流入</w:t>
      </w:r>
      <w:r>
        <w:rPr>
          <w:rFonts w:ascii="宋体" w:hAnsi="宋体" w:eastAsia="宋体" w:cs="宋体"/>
          <w:sz w:val="18"/>
          <w:szCs w:val="18"/>
        </w:rPr>
        <w:t>38,901.71</w:t>
      </w:r>
      <w:r>
        <w:rPr>
          <w:rFonts w:hint="eastAsia" w:ascii="宋体" w:hAnsi="宋体" w:eastAsia="宋体" w:cs="宋体"/>
          <w:sz w:val="18"/>
          <w:szCs w:val="18"/>
        </w:rPr>
        <w:t>万元。扣除天和永磁影响，由于报告期公司加大销售收现力度，销售商品提供劳务收到的现金同比增长</w:t>
      </w:r>
      <w:r>
        <w:rPr>
          <w:rFonts w:ascii="宋体" w:hAnsi="宋体" w:eastAsia="宋体" w:cs="宋体"/>
          <w:sz w:val="18"/>
          <w:szCs w:val="18"/>
        </w:rPr>
        <w:t>12.13%</w:t>
      </w:r>
      <w:r>
        <w:rPr>
          <w:rFonts w:hint="eastAsia" w:ascii="宋体" w:hAnsi="宋体" w:eastAsia="宋体" w:cs="宋体"/>
          <w:sz w:val="18"/>
          <w:szCs w:val="18"/>
        </w:rPr>
        <w:t>，其他现金流入项目也有不同程度的增长，综合导致报告期经营活动现金流入增长</w:t>
      </w:r>
      <w:r>
        <w:rPr>
          <w:rFonts w:ascii="宋体" w:hAnsi="宋体" w:eastAsia="宋体" w:cs="宋体"/>
          <w:sz w:val="18"/>
          <w:szCs w:val="18"/>
        </w:rPr>
        <w:t>48.70%</w:t>
      </w:r>
      <w:r>
        <w:rPr>
          <w:rFonts w:hint="eastAsia" w:ascii="宋体" w:hAnsi="宋体" w:eastAsia="宋体" w:cs="宋体"/>
          <w:sz w:val="18"/>
          <w:szCs w:val="18"/>
        </w:rPr>
        <w:t>。</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②经营活动现金流出：报告期新增合并单位天和永磁及川宇贸易新增采购商品支付薪酬等现金流出</w:t>
      </w:r>
      <w:r>
        <w:rPr>
          <w:rFonts w:ascii="宋体" w:hAnsi="宋体" w:eastAsia="宋体" w:cs="宋体"/>
          <w:sz w:val="18"/>
          <w:szCs w:val="18"/>
        </w:rPr>
        <w:t>44,859.18</w:t>
      </w:r>
      <w:r>
        <w:rPr>
          <w:rFonts w:hint="eastAsia" w:ascii="宋体" w:hAnsi="宋体" w:eastAsia="宋体" w:cs="宋体"/>
          <w:sz w:val="18"/>
          <w:szCs w:val="18"/>
        </w:rPr>
        <w:t>万元，占报告期全部现金流出的</w:t>
      </w:r>
      <w:r>
        <w:rPr>
          <w:rFonts w:ascii="宋体" w:hAnsi="宋体" w:eastAsia="宋体" w:cs="宋体"/>
          <w:sz w:val="18"/>
          <w:szCs w:val="18"/>
        </w:rPr>
        <w:t>28.78%,</w:t>
      </w:r>
      <w:r>
        <w:rPr>
          <w:rFonts w:hint="eastAsia" w:ascii="宋体" w:hAnsi="宋体" w:eastAsia="宋体" w:cs="宋体"/>
          <w:sz w:val="18"/>
          <w:szCs w:val="18"/>
        </w:rPr>
        <w:t>扣除新增合并单位影响，报告期经营活动现金流出同比增长</w:t>
      </w:r>
      <w:r>
        <w:rPr>
          <w:rFonts w:ascii="宋体" w:hAnsi="宋体" w:eastAsia="宋体" w:cs="宋体"/>
          <w:sz w:val="18"/>
          <w:szCs w:val="18"/>
        </w:rPr>
        <w:t>14.25%</w:t>
      </w:r>
      <w:r>
        <w:rPr>
          <w:rFonts w:hint="eastAsia" w:ascii="宋体" w:hAnsi="宋体" w:eastAsia="宋体" w:cs="宋体"/>
          <w:sz w:val="18"/>
          <w:szCs w:val="18"/>
        </w:rPr>
        <w:t>。主要是因为报告期采购大幅增加期末库存增长导致的现金支出大幅增长，以上原因综合导致报告期经营活动产生的现金流出增长</w:t>
      </w:r>
      <w:r>
        <w:rPr>
          <w:rFonts w:ascii="宋体" w:hAnsi="宋体" w:eastAsia="宋体" w:cs="宋体"/>
          <w:sz w:val="18"/>
          <w:szCs w:val="18"/>
        </w:rPr>
        <w:t>60.42%</w:t>
      </w:r>
      <w:r>
        <w:rPr>
          <w:rFonts w:hint="eastAsia" w:ascii="宋体" w:hAnsi="宋体" w:eastAsia="宋体" w:cs="宋体"/>
          <w:sz w:val="18"/>
          <w:szCs w:val="18"/>
        </w:rPr>
        <w:t>。</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③经营活动产生的现金流量净额：报告期因销售收现等原因经营活动现金流入增长</w:t>
      </w:r>
      <w:r>
        <w:rPr>
          <w:rFonts w:ascii="宋体" w:hAnsi="宋体" w:eastAsia="宋体" w:cs="宋体"/>
          <w:sz w:val="18"/>
          <w:szCs w:val="18"/>
        </w:rPr>
        <w:t>48.70%</w:t>
      </w:r>
      <w:r>
        <w:rPr>
          <w:rFonts w:hint="eastAsia" w:ascii="宋体" w:hAnsi="宋体" w:eastAsia="宋体" w:cs="宋体"/>
          <w:sz w:val="18"/>
          <w:szCs w:val="18"/>
        </w:rPr>
        <w:t>，但由于材料采购现金流出比例大幅高于现金流入，新增合并单位天和永磁报告期经营活动产生的现金流量净额为净流出</w:t>
      </w:r>
      <w:r>
        <w:rPr>
          <w:rFonts w:ascii="宋体" w:hAnsi="宋体" w:eastAsia="宋体" w:cs="宋体"/>
          <w:sz w:val="18"/>
          <w:szCs w:val="18"/>
        </w:rPr>
        <w:t>1,559.75</w:t>
      </w:r>
      <w:r>
        <w:rPr>
          <w:rFonts w:hint="eastAsia" w:ascii="宋体" w:hAnsi="宋体" w:eastAsia="宋体" w:cs="宋体"/>
          <w:sz w:val="18"/>
          <w:szCs w:val="18"/>
        </w:rPr>
        <w:t>万元，新增合并单位川宇贸易预付采购款</w:t>
      </w:r>
      <w:r>
        <w:rPr>
          <w:rFonts w:ascii="宋体" w:hAnsi="宋体" w:eastAsia="宋体" w:cs="宋体"/>
          <w:sz w:val="18"/>
          <w:szCs w:val="18"/>
        </w:rPr>
        <w:t>4,366.51</w:t>
      </w:r>
      <w:r>
        <w:rPr>
          <w:rFonts w:hint="eastAsia" w:ascii="宋体" w:hAnsi="宋体" w:eastAsia="宋体" w:cs="宋体"/>
          <w:sz w:val="18"/>
          <w:szCs w:val="18"/>
        </w:rPr>
        <w:t>万元并未产生相应的现金流入，报告期经营活动产生的现金流量为净流出</w:t>
      </w:r>
      <w:r>
        <w:rPr>
          <w:rFonts w:ascii="宋体" w:hAnsi="宋体" w:eastAsia="宋体" w:cs="宋体"/>
          <w:sz w:val="18"/>
          <w:szCs w:val="18"/>
        </w:rPr>
        <w:t>4,397.56</w:t>
      </w:r>
      <w:r>
        <w:rPr>
          <w:rFonts w:hint="eastAsia" w:ascii="宋体" w:hAnsi="宋体" w:eastAsia="宋体" w:cs="宋体"/>
          <w:sz w:val="18"/>
          <w:szCs w:val="18"/>
        </w:rPr>
        <w:t>万元，以上因素综合导致经营活动产生的现金流量净额同比下降</w:t>
      </w:r>
      <w:r>
        <w:rPr>
          <w:rFonts w:ascii="宋体" w:hAnsi="宋体" w:eastAsia="宋体" w:cs="宋体"/>
          <w:sz w:val="18"/>
          <w:szCs w:val="18"/>
        </w:rPr>
        <w:t>87.13%</w:t>
      </w:r>
      <w:r>
        <w:rPr>
          <w:rFonts w:hint="eastAsia" w:ascii="宋体" w:hAnsi="宋体" w:eastAsia="宋体" w:cs="宋体"/>
          <w:sz w:val="18"/>
          <w:szCs w:val="18"/>
        </w:rPr>
        <w:t>。</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w:t>
      </w:r>
      <w:r>
        <w:rPr>
          <w:rFonts w:ascii="宋体" w:hAnsi="宋体" w:eastAsia="宋体" w:cs="宋体"/>
          <w:sz w:val="18"/>
          <w:szCs w:val="18"/>
        </w:rPr>
        <w:t>2</w:t>
      </w:r>
      <w:r>
        <w:rPr>
          <w:rFonts w:hint="eastAsia" w:ascii="宋体" w:hAnsi="宋体" w:eastAsia="宋体" w:cs="宋体"/>
          <w:sz w:val="18"/>
          <w:szCs w:val="18"/>
        </w:rPr>
        <w:t>）投资活动产生的现金流量变动的主要因素</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报告期投资活动的现金流入、流出及现金流量净额从数据表现来看未发生重大变化，但其构成实质发生了重大变化。上年投资活动重大变动的主要因素是理财产品申赎及定期存款存出与到期转回的时间差异，报告期除上述业务的时间差异外，主要是收到联营公司分红款</w:t>
      </w:r>
      <w:r>
        <w:rPr>
          <w:rFonts w:ascii="宋体" w:hAnsi="宋体" w:eastAsia="宋体" w:cs="宋体"/>
          <w:sz w:val="18"/>
          <w:szCs w:val="18"/>
        </w:rPr>
        <w:t>9200</w:t>
      </w:r>
      <w:r>
        <w:rPr>
          <w:rFonts w:hint="eastAsia" w:ascii="宋体" w:hAnsi="宋体" w:eastAsia="宋体" w:cs="宋体"/>
          <w:sz w:val="18"/>
          <w:szCs w:val="18"/>
        </w:rPr>
        <w:t>万元，及并购天和永磁净支出</w:t>
      </w:r>
      <w:r>
        <w:rPr>
          <w:rFonts w:ascii="宋体" w:hAnsi="宋体" w:eastAsia="宋体" w:cs="宋体"/>
          <w:sz w:val="18"/>
          <w:szCs w:val="18"/>
        </w:rPr>
        <w:t>16,678.22</w:t>
      </w:r>
      <w:r>
        <w:rPr>
          <w:rFonts w:hint="eastAsia" w:ascii="宋体" w:hAnsi="宋体" w:eastAsia="宋体" w:cs="宋体"/>
          <w:sz w:val="18"/>
          <w:szCs w:val="18"/>
        </w:rPr>
        <w:t>万元。</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w:t>
      </w:r>
      <w:r>
        <w:rPr>
          <w:rFonts w:ascii="宋体" w:hAnsi="宋体" w:eastAsia="宋体" w:cs="宋体"/>
          <w:sz w:val="18"/>
          <w:szCs w:val="18"/>
        </w:rPr>
        <w:t>3</w:t>
      </w:r>
      <w:r>
        <w:rPr>
          <w:rFonts w:hint="eastAsia" w:ascii="宋体" w:hAnsi="宋体" w:eastAsia="宋体" w:cs="宋体"/>
          <w:sz w:val="18"/>
          <w:szCs w:val="18"/>
        </w:rPr>
        <w:t>）筹资活动产生的现金流量重大变动的主要因素</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①筹资活动现金流入：报告期新设子公司川宇贸易增加少数股东现金投入</w:t>
      </w:r>
      <w:r>
        <w:rPr>
          <w:rFonts w:ascii="宋体" w:hAnsi="宋体" w:eastAsia="宋体" w:cs="宋体"/>
          <w:sz w:val="18"/>
          <w:szCs w:val="18"/>
        </w:rPr>
        <w:t>2100</w:t>
      </w:r>
      <w:r>
        <w:rPr>
          <w:rFonts w:hint="eastAsia" w:ascii="宋体" w:hAnsi="宋体" w:eastAsia="宋体" w:cs="宋体"/>
          <w:sz w:val="18"/>
          <w:szCs w:val="18"/>
        </w:rPr>
        <w:t>万元，天和永磁取得借款</w:t>
      </w:r>
      <w:r>
        <w:rPr>
          <w:rFonts w:ascii="宋体" w:hAnsi="宋体" w:eastAsia="宋体" w:cs="宋体"/>
          <w:sz w:val="18"/>
          <w:szCs w:val="18"/>
        </w:rPr>
        <w:t>3000</w:t>
      </w:r>
      <w:r>
        <w:rPr>
          <w:rFonts w:hint="eastAsia" w:ascii="宋体" w:hAnsi="宋体" w:eastAsia="宋体" w:cs="宋体"/>
          <w:sz w:val="18"/>
          <w:szCs w:val="18"/>
        </w:rPr>
        <w:t>万元，报告期天和永磁代收股权转让股东应缴的个人所得税</w:t>
      </w:r>
      <w:r>
        <w:rPr>
          <w:rFonts w:ascii="宋体" w:hAnsi="宋体" w:eastAsia="宋体" w:cs="宋体"/>
          <w:sz w:val="18"/>
          <w:szCs w:val="18"/>
        </w:rPr>
        <w:t>2,658.87</w:t>
      </w:r>
      <w:r>
        <w:rPr>
          <w:rFonts w:hint="eastAsia" w:ascii="宋体" w:hAnsi="宋体" w:eastAsia="宋体" w:cs="宋体"/>
          <w:sz w:val="18"/>
          <w:szCs w:val="18"/>
        </w:rPr>
        <w:t>万元，综合导致报告期筹资活动产生的现金流入同比增长</w:t>
      </w:r>
      <w:r>
        <w:rPr>
          <w:rFonts w:ascii="宋体" w:hAnsi="宋体" w:eastAsia="宋体" w:cs="宋体"/>
          <w:sz w:val="18"/>
          <w:szCs w:val="18"/>
        </w:rPr>
        <w:t>222.82%</w:t>
      </w:r>
      <w:r>
        <w:rPr>
          <w:rFonts w:hint="eastAsia" w:ascii="宋体" w:hAnsi="宋体" w:eastAsia="宋体" w:cs="宋体"/>
          <w:sz w:val="18"/>
          <w:szCs w:val="18"/>
        </w:rPr>
        <w:t>。</w:t>
      </w:r>
    </w:p>
    <w:p>
      <w:pPr>
        <w:spacing w:before="40" w:after="40"/>
        <w:ind w:firstLine="360" w:firstLineChars="200"/>
        <w:rPr>
          <w:rFonts w:ascii="宋体" w:hAnsi="宋体" w:eastAsia="宋体" w:cs="宋体"/>
          <w:sz w:val="18"/>
          <w:szCs w:val="18"/>
        </w:rPr>
      </w:pPr>
      <w:r>
        <w:rPr>
          <w:rFonts w:ascii="宋体" w:hAnsi="宋体" w:eastAsia="宋体" w:cs="宋体"/>
          <w:sz w:val="18"/>
          <w:szCs w:val="18"/>
        </w:rPr>
        <w:fldChar w:fldCharType="begin"/>
      </w:r>
      <w:r>
        <w:rPr>
          <w:rFonts w:ascii="宋体" w:hAnsi="宋体" w:eastAsia="宋体" w:cs="宋体"/>
          <w:sz w:val="18"/>
          <w:szCs w:val="18"/>
        </w:rPr>
        <w:instrText xml:space="preserve"> </w:instrText>
      </w:r>
      <w:r>
        <w:rPr>
          <w:rFonts w:hint="eastAsia" w:ascii="宋体" w:hAnsi="宋体" w:eastAsia="宋体" w:cs="宋体"/>
          <w:sz w:val="18"/>
          <w:szCs w:val="18"/>
        </w:rPr>
        <w:instrText xml:space="preserve">= 2 \* GB3</w:instrText>
      </w:r>
      <w:r>
        <w:rPr>
          <w:rFonts w:ascii="宋体" w:hAnsi="宋体" w:eastAsia="宋体" w:cs="宋体"/>
          <w:sz w:val="18"/>
          <w:szCs w:val="18"/>
        </w:rPr>
        <w:instrText xml:space="preserve"> </w:instrText>
      </w:r>
      <w:r>
        <w:rPr>
          <w:rFonts w:ascii="宋体" w:hAnsi="宋体" w:eastAsia="宋体" w:cs="宋体"/>
          <w:sz w:val="18"/>
          <w:szCs w:val="18"/>
        </w:rPr>
        <w:fldChar w:fldCharType="separate"/>
      </w:r>
      <w:r>
        <w:rPr>
          <w:rFonts w:hint="eastAsia" w:ascii="宋体" w:hAnsi="宋体" w:eastAsia="宋体" w:cs="宋体"/>
          <w:sz w:val="18"/>
          <w:szCs w:val="18"/>
        </w:rPr>
        <w:t>②</w:t>
      </w:r>
      <w:r>
        <w:rPr>
          <w:rFonts w:ascii="宋体" w:hAnsi="宋体" w:eastAsia="宋体" w:cs="宋体"/>
          <w:sz w:val="18"/>
          <w:szCs w:val="18"/>
        </w:rPr>
        <w:fldChar w:fldCharType="end"/>
      </w:r>
      <w:r>
        <w:rPr>
          <w:rFonts w:hint="eastAsia" w:ascii="宋体" w:hAnsi="宋体" w:eastAsia="宋体" w:cs="宋体"/>
          <w:sz w:val="18"/>
          <w:szCs w:val="18"/>
        </w:rPr>
        <w:t>筹资活动现金流出：报告期偿还债务、分配股利同比减少</w:t>
      </w:r>
      <w:r>
        <w:rPr>
          <w:rFonts w:ascii="宋体" w:hAnsi="宋体" w:eastAsia="宋体" w:cs="宋体"/>
          <w:sz w:val="18"/>
          <w:szCs w:val="18"/>
        </w:rPr>
        <w:t>2,710.35</w:t>
      </w:r>
      <w:r>
        <w:rPr>
          <w:rFonts w:hint="eastAsia" w:ascii="宋体" w:hAnsi="宋体" w:eastAsia="宋体" w:cs="宋体"/>
          <w:sz w:val="18"/>
          <w:szCs w:val="18"/>
        </w:rPr>
        <w:t>万元，天和永磁支付代收的股权转让股东应缴的个人所得税等原因同比增加支付的其他与筹资活动有关的现金同比增加</w:t>
      </w:r>
      <w:r>
        <w:rPr>
          <w:rFonts w:ascii="宋体" w:hAnsi="宋体" w:eastAsia="宋体" w:cs="宋体"/>
          <w:sz w:val="18"/>
          <w:szCs w:val="18"/>
        </w:rPr>
        <w:t>2,894.25</w:t>
      </w:r>
      <w:r>
        <w:rPr>
          <w:rFonts w:hint="eastAsia" w:ascii="宋体" w:hAnsi="宋体" w:eastAsia="宋体" w:cs="宋体"/>
          <w:sz w:val="18"/>
          <w:szCs w:val="18"/>
        </w:rPr>
        <w:t>万元，导致筹资活动现金流出同比增长</w:t>
      </w:r>
      <w:r>
        <w:rPr>
          <w:rFonts w:ascii="宋体" w:hAnsi="宋体" w:eastAsia="宋体" w:cs="宋体"/>
          <w:sz w:val="18"/>
          <w:szCs w:val="18"/>
        </w:rPr>
        <w:t>2.79%</w:t>
      </w:r>
      <w:r>
        <w:rPr>
          <w:rFonts w:hint="eastAsia" w:ascii="宋体" w:hAnsi="宋体" w:eastAsia="宋体" w:cs="宋体"/>
          <w:sz w:val="18"/>
          <w:szCs w:val="18"/>
        </w:rPr>
        <w:t>。</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以上因素共同作用综合导致筹资活动产生的现金流量净额为净流出，同比增长</w:t>
      </w:r>
      <w:r>
        <w:rPr>
          <w:rFonts w:ascii="宋体" w:hAnsi="宋体" w:eastAsia="宋体" w:cs="宋体"/>
          <w:sz w:val="18"/>
          <w:szCs w:val="18"/>
        </w:rPr>
        <w:t>123.58%</w:t>
      </w:r>
      <w:r>
        <w:rPr>
          <w:rFonts w:hint="eastAsia" w:ascii="宋体" w:hAnsi="宋体" w:eastAsia="宋体" w:cs="宋体"/>
          <w:sz w:val="18"/>
          <w:szCs w:val="18"/>
        </w:rPr>
        <w:t>。</w:t>
      </w:r>
    </w:p>
    <w:p>
      <w:pPr>
        <w:spacing w:before="100" w:after="100" w:line="240" w:lineRule="exact"/>
        <w:rPr>
          <w:rFonts w:ascii="宋体" w:hAnsi="宋体" w:eastAsia="宋体" w:cs="宋体"/>
          <w:sz w:val="18"/>
          <w:szCs w:val="18"/>
        </w:rPr>
      </w:pPr>
      <w:r>
        <w:rPr>
          <w:rFonts w:ascii="宋体" w:hAnsi="宋体" w:eastAsia="宋体" w:cs="宋体"/>
          <w:sz w:val="18"/>
          <w:szCs w:val="18"/>
        </w:rPr>
        <w:t>报告期内公司经营活动产生的现金净流量与本年度净利润存在重大差异的原因说明</w:t>
      </w:r>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pStyle w:val="6"/>
      </w:pPr>
    </w:p>
    <w:p>
      <w:pPr>
        <w:spacing w:before="100" w:after="100" w:line="240" w:lineRule="exact"/>
        <w:rPr>
          <w:rFonts w:ascii="宋体" w:hAnsi="宋体" w:eastAsia="宋体" w:cs="宋体"/>
          <w:sz w:val="18"/>
          <w:szCs w:val="18"/>
        </w:rPr>
      </w:pPr>
      <w:r>
        <w:rPr>
          <w:rFonts w:hint="eastAsia" w:ascii="宋体" w:hAnsi="宋体" w:eastAsia="宋体" w:cs="宋体"/>
          <w:sz w:val="18"/>
          <w:szCs w:val="18"/>
        </w:rPr>
        <w:t>（1）报告期经营活动产生的现金流量净额与本年度净利润的差异情况</w:t>
      </w:r>
    </w:p>
    <w:tbl>
      <w:tblPr>
        <w:tblStyle w:val="13"/>
        <w:tblW w:w="5000" w:type="pct"/>
        <w:tblInd w:w="0" w:type="dxa"/>
        <w:tblLayout w:type="autofit"/>
        <w:tblCellMar>
          <w:top w:w="0" w:type="dxa"/>
          <w:left w:w="0" w:type="dxa"/>
          <w:bottom w:w="0" w:type="dxa"/>
          <w:right w:w="0" w:type="dxa"/>
        </w:tblCellMar>
      </w:tblPr>
      <w:tblGrid>
        <w:gridCol w:w="6136"/>
        <w:gridCol w:w="3717"/>
      </w:tblGrid>
      <w:tr>
        <w:tblPrEx>
          <w:tblCellMar>
            <w:top w:w="0" w:type="dxa"/>
            <w:left w:w="0" w:type="dxa"/>
            <w:bottom w:w="0" w:type="dxa"/>
            <w:right w:w="0" w:type="dxa"/>
          </w:tblCellMar>
        </w:tblPrEx>
        <w:trPr>
          <w:trHeight w:val="276" w:hRule="atLeast"/>
        </w:trPr>
        <w:tc>
          <w:tcPr>
            <w:tcW w:w="3114" w:type="pct"/>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jc w:val="center"/>
            </w:pPr>
            <w:r>
              <w:rPr>
                <w:rFonts w:hint="eastAsia"/>
                <w:color w:val="000000"/>
                <w:sz w:val="18"/>
                <w:szCs w:val="18"/>
              </w:rPr>
              <w:t>项目</w:t>
            </w:r>
            <w:r>
              <w:rPr>
                <w:rFonts w:cs="Times New Roman"/>
                <w:color w:val="000000"/>
                <w:sz w:val="18"/>
                <w:szCs w:val="18"/>
              </w:rPr>
              <w:t xml:space="preserve"> </w:t>
            </w:r>
          </w:p>
        </w:tc>
        <w:tc>
          <w:tcPr>
            <w:tcW w:w="1886" w:type="pct"/>
            <w:tcBorders>
              <w:top w:val="single" w:color="auto" w:sz="8" w:space="0"/>
              <w:left w:val="nil"/>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jc w:val="center"/>
            </w:pPr>
            <w:r>
              <w:rPr>
                <w:rFonts w:cs="Times New Roman"/>
                <w:color w:val="000000"/>
                <w:sz w:val="18"/>
                <w:szCs w:val="18"/>
              </w:rPr>
              <w:t> </w:t>
            </w:r>
            <w:r>
              <w:rPr>
                <w:rFonts w:hint="eastAsia"/>
                <w:color w:val="000000"/>
                <w:sz w:val="18"/>
                <w:szCs w:val="18"/>
              </w:rPr>
              <w:t>金额</w:t>
            </w:r>
            <w:r>
              <w:rPr>
                <w:rFonts w:cs="Times New Roman"/>
                <w:color w:val="000000"/>
                <w:sz w:val="18"/>
                <w:szCs w:val="18"/>
              </w:rPr>
              <w:t xml:space="preserve"> </w:t>
            </w:r>
          </w:p>
        </w:tc>
      </w:tr>
      <w:tr>
        <w:tblPrEx>
          <w:tblCellMar>
            <w:top w:w="0" w:type="dxa"/>
            <w:left w:w="0" w:type="dxa"/>
            <w:bottom w:w="0" w:type="dxa"/>
            <w:right w:w="0" w:type="dxa"/>
          </w:tblCellMar>
        </w:tblPrEx>
        <w:trPr>
          <w:trHeight w:val="300" w:hRule="atLeast"/>
        </w:trPr>
        <w:tc>
          <w:tcPr>
            <w:tcW w:w="3114" w:type="pct"/>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pPr>
            <w:r>
              <w:rPr>
                <w:rFonts w:cs="Times New Roman"/>
                <w:color w:val="000000"/>
                <w:sz w:val="18"/>
                <w:szCs w:val="18"/>
              </w:rPr>
              <w:t> </w:t>
            </w:r>
            <w:r>
              <w:rPr>
                <w:rFonts w:hint="eastAsia"/>
                <w:color w:val="000000"/>
                <w:sz w:val="18"/>
                <w:szCs w:val="18"/>
              </w:rPr>
              <w:t>报告期净利润</w:t>
            </w:r>
            <w:r>
              <w:rPr>
                <w:rFonts w:cs="Times New Roman"/>
                <w:color w:val="000000"/>
                <w:sz w:val="18"/>
                <w:szCs w:val="18"/>
              </w:rPr>
              <w:t xml:space="preserve"> </w:t>
            </w:r>
          </w:p>
        </w:tc>
        <w:tc>
          <w:tcPr>
            <w:tcW w:w="1886" w:type="pct"/>
            <w:tcBorders>
              <w:top w:val="nil"/>
              <w:left w:val="nil"/>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jc w:val="right"/>
            </w:pPr>
            <w:r>
              <w:rPr>
                <w:rFonts w:cs="Times New Roman"/>
                <w:color w:val="000000"/>
                <w:sz w:val="18"/>
                <w:szCs w:val="18"/>
              </w:rPr>
              <w:t xml:space="preserve">        233,687,016.22 </w:t>
            </w:r>
          </w:p>
        </w:tc>
      </w:tr>
      <w:tr>
        <w:tblPrEx>
          <w:tblCellMar>
            <w:top w:w="0" w:type="dxa"/>
            <w:left w:w="0" w:type="dxa"/>
            <w:bottom w:w="0" w:type="dxa"/>
            <w:right w:w="0" w:type="dxa"/>
          </w:tblCellMar>
        </w:tblPrEx>
        <w:trPr>
          <w:trHeight w:val="300" w:hRule="atLeast"/>
        </w:trPr>
        <w:tc>
          <w:tcPr>
            <w:tcW w:w="3114" w:type="pct"/>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pPr>
            <w:r>
              <w:rPr>
                <w:rFonts w:cs="Times New Roman"/>
                <w:color w:val="000000"/>
                <w:sz w:val="18"/>
                <w:szCs w:val="18"/>
              </w:rPr>
              <w:t> </w:t>
            </w:r>
            <w:r>
              <w:rPr>
                <w:rFonts w:hint="eastAsia"/>
                <w:color w:val="000000"/>
                <w:sz w:val="18"/>
                <w:szCs w:val="18"/>
              </w:rPr>
              <w:t>经营活动产生的现金流量净额</w:t>
            </w:r>
            <w:r>
              <w:rPr>
                <w:rFonts w:cs="Times New Roman"/>
                <w:color w:val="000000"/>
                <w:sz w:val="18"/>
                <w:szCs w:val="18"/>
              </w:rPr>
              <w:t xml:space="preserve"> </w:t>
            </w:r>
          </w:p>
        </w:tc>
        <w:tc>
          <w:tcPr>
            <w:tcW w:w="1886" w:type="pct"/>
            <w:tcBorders>
              <w:top w:val="nil"/>
              <w:left w:val="nil"/>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jc w:val="right"/>
            </w:pPr>
            <w:r>
              <w:rPr>
                <w:rFonts w:cs="Times New Roman"/>
                <w:color w:val="000000"/>
                <w:sz w:val="18"/>
                <w:szCs w:val="18"/>
              </w:rPr>
              <w:t xml:space="preserve">          10,795,925.31 </w:t>
            </w:r>
          </w:p>
        </w:tc>
      </w:tr>
      <w:tr>
        <w:tblPrEx>
          <w:tblCellMar>
            <w:top w:w="0" w:type="dxa"/>
            <w:left w:w="0" w:type="dxa"/>
            <w:bottom w:w="0" w:type="dxa"/>
            <w:right w:w="0" w:type="dxa"/>
          </w:tblCellMar>
        </w:tblPrEx>
        <w:trPr>
          <w:trHeight w:val="300" w:hRule="atLeast"/>
        </w:trPr>
        <w:tc>
          <w:tcPr>
            <w:tcW w:w="3114" w:type="pct"/>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pPr>
            <w:r>
              <w:rPr>
                <w:rFonts w:cs="Times New Roman"/>
                <w:color w:val="000000"/>
                <w:sz w:val="18"/>
                <w:szCs w:val="18"/>
              </w:rPr>
              <w:t> </w:t>
            </w:r>
            <w:r>
              <w:rPr>
                <w:rFonts w:hint="eastAsia"/>
                <w:color w:val="000000"/>
                <w:sz w:val="18"/>
                <w:szCs w:val="18"/>
              </w:rPr>
              <w:t>差异</w:t>
            </w:r>
            <w:r>
              <w:rPr>
                <w:rFonts w:cs="Times New Roman"/>
                <w:color w:val="000000"/>
                <w:sz w:val="18"/>
                <w:szCs w:val="18"/>
              </w:rPr>
              <w:t xml:space="preserve"> </w:t>
            </w:r>
          </w:p>
        </w:tc>
        <w:tc>
          <w:tcPr>
            <w:tcW w:w="1886" w:type="pct"/>
            <w:tcBorders>
              <w:top w:val="nil"/>
              <w:left w:val="nil"/>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jc w:val="right"/>
            </w:pPr>
            <w:r>
              <w:rPr>
                <w:rFonts w:cs="Times New Roman"/>
                <w:color w:val="000000"/>
                <w:sz w:val="18"/>
                <w:szCs w:val="18"/>
              </w:rPr>
              <w:t xml:space="preserve">        222,891,090.91 </w:t>
            </w:r>
          </w:p>
        </w:tc>
      </w:tr>
    </w:tbl>
    <w:p>
      <w:pPr>
        <w:spacing w:before="100" w:after="100" w:line="240" w:lineRule="exact"/>
        <w:rPr>
          <w:rFonts w:ascii="宋体" w:hAnsi="宋体" w:eastAsia="宋体" w:cs="宋体"/>
          <w:sz w:val="18"/>
          <w:szCs w:val="18"/>
        </w:rPr>
      </w:pPr>
    </w:p>
    <w:p>
      <w:pPr>
        <w:spacing w:before="100" w:after="100" w:line="240" w:lineRule="exact"/>
        <w:rPr>
          <w:rFonts w:ascii="宋体" w:hAnsi="宋体" w:eastAsia="宋体" w:cs="宋体"/>
          <w:sz w:val="18"/>
          <w:szCs w:val="18"/>
        </w:rPr>
      </w:pPr>
    </w:p>
    <w:p>
      <w:pPr>
        <w:spacing w:before="100" w:after="100" w:line="240" w:lineRule="exact"/>
        <w:rPr>
          <w:rFonts w:ascii="宋体" w:hAnsi="宋体" w:eastAsia="宋体" w:cs="宋体"/>
          <w:sz w:val="18"/>
          <w:szCs w:val="18"/>
        </w:rPr>
      </w:pPr>
    </w:p>
    <w:p>
      <w:pPr>
        <w:spacing w:before="100" w:after="100" w:line="240" w:lineRule="exact"/>
        <w:rPr>
          <w:rFonts w:ascii="宋体" w:hAnsi="宋体" w:eastAsia="宋体" w:cs="宋体"/>
          <w:sz w:val="18"/>
          <w:szCs w:val="18"/>
        </w:rPr>
      </w:pPr>
    </w:p>
    <w:p>
      <w:pPr>
        <w:spacing w:before="100" w:after="100" w:line="240" w:lineRule="exact"/>
        <w:rPr>
          <w:rFonts w:ascii="宋体" w:hAnsi="宋体" w:eastAsia="宋体" w:cs="宋体"/>
          <w:sz w:val="18"/>
          <w:szCs w:val="18"/>
        </w:rPr>
      </w:pPr>
      <w:r>
        <w:rPr>
          <w:rFonts w:hint="eastAsia" w:ascii="宋体" w:hAnsi="宋体" w:eastAsia="宋体" w:cs="宋体"/>
          <w:sz w:val="18"/>
          <w:szCs w:val="18"/>
        </w:rPr>
        <w:t>（2）产生差异的主要原因</w:t>
      </w:r>
    </w:p>
    <w:tbl>
      <w:tblPr>
        <w:tblStyle w:val="13"/>
        <w:tblW w:w="5000" w:type="pct"/>
        <w:tblInd w:w="0" w:type="dxa"/>
        <w:tblLayout w:type="autofit"/>
        <w:tblCellMar>
          <w:top w:w="0" w:type="dxa"/>
          <w:left w:w="0" w:type="dxa"/>
          <w:bottom w:w="0" w:type="dxa"/>
          <w:right w:w="0" w:type="dxa"/>
        </w:tblCellMar>
      </w:tblPr>
      <w:tblGrid>
        <w:gridCol w:w="5786"/>
        <w:gridCol w:w="4067"/>
      </w:tblGrid>
      <w:tr>
        <w:tblPrEx>
          <w:tblCellMar>
            <w:top w:w="0" w:type="dxa"/>
            <w:left w:w="0" w:type="dxa"/>
            <w:bottom w:w="0" w:type="dxa"/>
            <w:right w:w="0" w:type="dxa"/>
          </w:tblCellMar>
        </w:tblPrEx>
        <w:trPr>
          <w:trHeight w:val="288" w:hRule="atLeast"/>
        </w:trPr>
        <w:tc>
          <w:tcPr>
            <w:tcW w:w="2936" w:type="pct"/>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jc w:val="center"/>
            </w:pPr>
            <w:r>
              <w:rPr>
                <w:rFonts w:hint="eastAsia"/>
                <w:color w:val="000000"/>
                <w:sz w:val="18"/>
                <w:szCs w:val="18"/>
              </w:rPr>
              <w:t>项目</w:t>
            </w:r>
            <w:r>
              <w:rPr>
                <w:rFonts w:cs="Times New Roman"/>
                <w:color w:val="000000"/>
                <w:sz w:val="18"/>
                <w:szCs w:val="18"/>
              </w:rPr>
              <w:t xml:space="preserve"> </w:t>
            </w:r>
          </w:p>
        </w:tc>
        <w:tc>
          <w:tcPr>
            <w:tcW w:w="2064" w:type="pct"/>
            <w:tcBorders>
              <w:top w:val="single" w:color="auto" w:sz="8" w:space="0"/>
              <w:left w:val="nil"/>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jc w:val="center"/>
            </w:pPr>
            <w:r>
              <w:rPr>
                <w:rFonts w:cs="Times New Roman"/>
                <w:color w:val="000000"/>
                <w:sz w:val="18"/>
                <w:szCs w:val="18"/>
              </w:rPr>
              <w:t> </w:t>
            </w:r>
            <w:r>
              <w:rPr>
                <w:rFonts w:hint="eastAsia"/>
                <w:color w:val="000000"/>
                <w:sz w:val="18"/>
                <w:szCs w:val="18"/>
              </w:rPr>
              <w:t>金额</w:t>
            </w:r>
            <w:r>
              <w:rPr>
                <w:rFonts w:cs="Times New Roman"/>
                <w:color w:val="000000"/>
                <w:sz w:val="18"/>
                <w:szCs w:val="18"/>
              </w:rPr>
              <w:t xml:space="preserve"> </w:t>
            </w:r>
          </w:p>
        </w:tc>
      </w:tr>
      <w:tr>
        <w:tblPrEx>
          <w:tblCellMar>
            <w:top w:w="0" w:type="dxa"/>
            <w:left w:w="0" w:type="dxa"/>
            <w:bottom w:w="0" w:type="dxa"/>
            <w:right w:w="0" w:type="dxa"/>
          </w:tblCellMar>
        </w:tblPrEx>
        <w:trPr>
          <w:trHeight w:val="300" w:hRule="atLeast"/>
        </w:trPr>
        <w:tc>
          <w:tcPr>
            <w:tcW w:w="2936" w:type="pct"/>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pPr>
            <w:r>
              <w:rPr>
                <w:rFonts w:cs="Times New Roman"/>
                <w:color w:val="000000"/>
                <w:sz w:val="18"/>
                <w:szCs w:val="18"/>
              </w:rPr>
              <w:t> </w:t>
            </w:r>
            <w:r>
              <w:rPr>
                <w:rFonts w:hint="eastAsia"/>
                <w:color w:val="000000"/>
                <w:sz w:val="18"/>
                <w:szCs w:val="18"/>
              </w:rPr>
              <w:t>报告期投资收益</w:t>
            </w:r>
            <w:r>
              <w:rPr>
                <w:rFonts w:cs="Times New Roman"/>
                <w:color w:val="000000"/>
                <w:sz w:val="18"/>
                <w:szCs w:val="18"/>
              </w:rPr>
              <w:t xml:space="preserve"> </w:t>
            </w:r>
          </w:p>
        </w:tc>
        <w:tc>
          <w:tcPr>
            <w:tcW w:w="2064" w:type="pct"/>
            <w:tcBorders>
              <w:top w:val="nil"/>
              <w:left w:val="nil"/>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jc w:val="right"/>
            </w:pPr>
            <w:r>
              <w:rPr>
                <w:rFonts w:cs="Times New Roman"/>
                <w:color w:val="000000"/>
                <w:sz w:val="18"/>
                <w:szCs w:val="18"/>
              </w:rPr>
              <w:t xml:space="preserve">        128,138,864.33 </w:t>
            </w:r>
          </w:p>
        </w:tc>
      </w:tr>
      <w:tr>
        <w:tblPrEx>
          <w:tblCellMar>
            <w:top w:w="0" w:type="dxa"/>
            <w:left w:w="0" w:type="dxa"/>
            <w:bottom w:w="0" w:type="dxa"/>
            <w:right w:w="0" w:type="dxa"/>
          </w:tblCellMar>
        </w:tblPrEx>
        <w:trPr>
          <w:trHeight w:val="300" w:hRule="atLeast"/>
        </w:trPr>
        <w:tc>
          <w:tcPr>
            <w:tcW w:w="2936" w:type="pct"/>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pPr>
            <w:r>
              <w:rPr>
                <w:rFonts w:cs="Times New Roman"/>
                <w:color w:val="000000"/>
                <w:sz w:val="18"/>
                <w:szCs w:val="18"/>
              </w:rPr>
              <w:t> </w:t>
            </w:r>
            <w:r>
              <w:rPr>
                <w:rFonts w:hint="eastAsia"/>
                <w:color w:val="000000"/>
                <w:sz w:val="18"/>
                <w:szCs w:val="18"/>
              </w:rPr>
              <w:t>存货增加</w:t>
            </w:r>
            <w:r>
              <w:rPr>
                <w:rFonts w:cs="Times New Roman"/>
                <w:color w:val="000000"/>
                <w:sz w:val="18"/>
                <w:szCs w:val="18"/>
              </w:rPr>
              <w:t xml:space="preserve"> </w:t>
            </w:r>
          </w:p>
        </w:tc>
        <w:tc>
          <w:tcPr>
            <w:tcW w:w="2064" w:type="pct"/>
            <w:tcBorders>
              <w:top w:val="nil"/>
              <w:left w:val="nil"/>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jc w:val="right"/>
            </w:pPr>
            <w:r>
              <w:rPr>
                <w:rFonts w:cs="Times New Roman"/>
                <w:color w:val="000000"/>
                <w:sz w:val="18"/>
                <w:szCs w:val="18"/>
              </w:rPr>
              <w:t xml:space="preserve">        144,177,537.36 </w:t>
            </w:r>
          </w:p>
        </w:tc>
      </w:tr>
      <w:tr>
        <w:tblPrEx>
          <w:tblCellMar>
            <w:top w:w="0" w:type="dxa"/>
            <w:left w:w="0" w:type="dxa"/>
            <w:bottom w:w="0" w:type="dxa"/>
            <w:right w:w="0" w:type="dxa"/>
          </w:tblCellMar>
        </w:tblPrEx>
        <w:trPr>
          <w:trHeight w:val="300" w:hRule="atLeast"/>
        </w:trPr>
        <w:tc>
          <w:tcPr>
            <w:tcW w:w="2936" w:type="pct"/>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pPr>
            <w:r>
              <w:rPr>
                <w:rFonts w:cs="Times New Roman"/>
                <w:color w:val="000000"/>
                <w:sz w:val="18"/>
                <w:szCs w:val="18"/>
              </w:rPr>
              <w:t> </w:t>
            </w:r>
            <w:r>
              <w:rPr>
                <w:rFonts w:hint="eastAsia"/>
                <w:color w:val="000000"/>
                <w:sz w:val="18"/>
                <w:szCs w:val="18"/>
              </w:rPr>
              <w:t>计提的信用减值损失等资产减值损失</w:t>
            </w:r>
            <w:r>
              <w:rPr>
                <w:rFonts w:cs="Times New Roman"/>
                <w:color w:val="000000"/>
                <w:sz w:val="18"/>
                <w:szCs w:val="18"/>
              </w:rPr>
              <w:t xml:space="preserve"> </w:t>
            </w:r>
          </w:p>
        </w:tc>
        <w:tc>
          <w:tcPr>
            <w:tcW w:w="2064" w:type="pct"/>
            <w:tcBorders>
              <w:top w:val="nil"/>
              <w:left w:val="nil"/>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jc w:val="right"/>
            </w:pPr>
            <w:r>
              <w:rPr>
                <w:rFonts w:cs="Times New Roman"/>
                <w:color w:val="000000"/>
                <w:sz w:val="18"/>
                <w:szCs w:val="18"/>
              </w:rPr>
              <w:t xml:space="preserve">         -27,668,243.00 </w:t>
            </w:r>
          </w:p>
        </w:tc>
      </w:tr>
      <w:tr>
        <w:tblPrEx>
          <w:tblCellMar>
            <w:top w:w="0" w:type="dxa"/>
            <w:left w:w="0" w:type="dxa"/>
            <w:bottom w:w="0" w:type="dxa"/>
            <w:right w:w="0" w:type="dxa"/>
          </w:tblCellMar>
        </w:tblPrEx>
        <w:trPr>
          <w:trHeight w:val="300" w:hRule="atLeast"/>
        </w:trPr>
        <w:tc>
          <w:tcPr>
            <w:tcW w:w="2936" w:type="pct"/>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pPr>
            <w:r>
              <w:rPr>
                <w:rFonts w:cs="Times New Roman"/>
                <w:color w:val="000000"/>
                <w:sz w:val="18"/>
                <w:szCs w:val="18"/>
              </w:rPr>
              <w:t> </w:t>
            </w:r>
            <w:r>
              <w:rPr>
                <w:rFonts w:hint="eastAsia"/>
                <w:color w:val="000000"/>
                <w:sz w:val="18"/>
                <w:szCs w:val="18"/>
              </w:rPr>
              <w:t>固定资产、无形资产等折旧摊销额</w:t>
            </w:r>
            <w:r>
              <w:rPr>
                <w:rFonts w:cs="Times New Roman"/>
                <w:color w:val="000000"/>
                <w:sz w:val="18"/>
                <w:szCs w:val="18"/>
              </w:rPr>
              <w:t xml:space="preserve"> </w:t>
            </w:r>
          </w:p>
        </w:tc>
        <w:tc>
          <w:tcPr>
            <w:tcW w:w="2064" w:type="pct"/>
            <w:tcBorders>
              <w:top w:val="nil"/>
              <w:left w:val="nil"/>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jc w:val="right"/>
            </w:pPr>
            <w:r>
              <w:rPr>
                <w:rFonts w:cs="Times New Roman"/>
                <w:color w:val="000000"/>
                <w:sz w:val="18"/>
                <w:szCs w:val="18"/>
              </w:rPr>
              <w:t xml:space="preserve">         -31,919,970.72 </w:t>
            </w:r>
          </w:p>
        </w:tc>
      </w:tr>
      <w:tr>
        <w:tblPrEx>
          <w:tblCellMar>
            <w:top w:w="0" w:type="dxa"/>
            <w:left w:w="0" w:type="dxa"/>
            <w:bottom w:w="0" w:type="dxa"/>
            <w:right w:w="0" w:type="dxa"/>
          </w:tblCellMar>
        </w:tblPrEx>
        <w:trPr>
          <w:trHeight w:val="300" w:hRule="atLeast"/>
        </w:trPr>
        <w:tc>
          <w:tcPr>
            <w:tcW w:w="2936" w:type="pct"/>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pPr>
            <w:r>
              <w:rPr>
                <w:rFonts w:cs="Times New Roman"/>
                <w:color w:val="000000"/>
                <w:sz w:val="18"/>
                <w:szCs w:val="18"/>
              </w:rPr>
              <w:t> </w:t>
            </w:r>
            <w:r>
              <w:rPr>
                <w:rFonts w:hint="eastAsia"/>
                <w:color w:val="000000"/>
                <w:sz w:val="18"/>
                <w:szCs w:val="18"/>
              </w:rPr>
              <w:t>公允价值变动收益</w:t>
            </w:r>
            <w:r>
              <w:rPr>
                <w:rFonts w:cs="Times New Roman"/>
                <w:color w:val="000000"/>
                <w:sz w:val="18"/>
                <w:szCs w:val="18"/>
              </w:rPr>
              <w:t xml:space="preserve"> </w:t>
            </w:r>
          </w:p>
        </w:tc>
        <w:tc>
          <w:tcPr>
            <w:tcW w:w="2064" w:type="pct"/>
            <w:tcBorders>
              <w:top w:val="nil"/>
              <w:left w:val="nil"/>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jc w:val="right"/>
            </w:pPr>
            <w:r>
              <w:rPr>
                <w:rFonts w:cs="Times New Roman"/>
                <w:color w:val="000000"/>
                <w:sz w:val="18"/>
                <w:szCs w:val="18"/>
              </w:rPr>
              <w:t xml:space="preserve">            6,588,110.66 </w:t>
            </w:r>
          </w:p>
        </w:tc>
      </w:tr>
      <w:tr>
        <w:tblPrEx>
          <w:tblCellMar>
            <w:top w:w="0" w:type="dxa"/>
            <w:left w:w="0" w:type="dxa"/>
            <w:bottom w:w="0" w:type="dxa"/>
            <w:right w:w="0" w:type="dxa"/>
          </w:tblCellMar>
        </w:tblPrEx>
        <w:trPr>
          <w:trHeight w:val="300" w:hRule="atLeast"/>
        </w:trPr>
        <w:tc>
          <w:tcPr>
            <w:tcW w:w="2936" w:type="pct"/>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pPr>
            <w:r>
              <w:rPr>
                <w:rFonts w:cs="Times New Roman"/>
                <w:color w:val="000000"/>
                <w:sz w:val="18"/>
                <w:szCs w:val="18"/>
              </w:rPr>
              <w:t> </w:t>
            </w:r>
            <w:r>
              <w:rPr>
                <w:rFonts w:hint="eastAsia"/>
                <w:color w:val="000000"/>
                <w:sz w:val="18"/>
                <w:szCs w:val="18"/>
              </w:rPr>
              <w:t>递延所得税影响</w:t>
            </w:r>
            <w:r>
              <w:rPr>
                <w:rFonts w:cs="Times New Roman"/>
                <w:color w:val="000000"/>
                <w:sz w:val="18"/>
                <w:szCs w:val="18"/>
              </w:rPr>
              <w:t xml:space="preserve"> </w:t>
            </w:r>
          </w:p>
        </w:tc>
        <w:tc>
          <w:tcPr>
            <w:tcW w:w="2064" w:type="pct"/>
            <w:tcBorders>
              <w:top w:val="nil"/>
              <w:left w:val="nil"/>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jc w:val="right"/>
            </w:pPr>
            <w:r>
              <w:rPr>
                <w:rFonts w:cs="Times New Roman"/>
                <w:color w:val="000000"/>
                <w:sz w:val="18"/>
                <w:szCs w:val="18"/>
              </w:rPr>
              <w:t xml:space="preserve">                715,594.23 </w:t>
            </w:r>
          </w:p>
        </w:tc>
      </w:tr>
      <w:tr>
        <w:tblPrEx>
          <w:tblCellMar>
            <w:top w:w="0" w:type="dxa"/>
            <w:left w:w="0" w:type="dxa"/>
            <w:bottom w:w="0" w:type="dxa"/>
            <w:right w:w="0" w:type="dxa"/>
          </w:tblCellMar>
        </w:tblPrEx>
        <w:trPr>
          <w:trHeight w:val="300" w:hRule="atLeast"/>
        </w:trPr>
        <w:tc>
          <w:tcPr>
            <w:tcW w:w="2936" w:type="pct"/>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pPr>
            <w:r>
              <w:rPr>
                <w:rFonts w:cs="Times New Roman"/>
                <w:color w:val="000000"/>
                <w:sz w:val="18"/>
                <w:szCs w:val="18"/>
              </w:rPr>
              <w:t> </w:t>
            </w:r>
            <w:r>
              <w:rPr>
                <w:rFonts w:hint="eastAsia"/>
                <w:color w:val="000000"/>
                <w:sz w:val="18"/>
                <w:szCs w:val="18"/>
              </w:rPr>
              <w:t>其他影响</w:t>
            </w:r>
            <w:r>
              <w:rPr>
                <w:rFonts w:cs="Times New Roman"/>
                <w:color w:val="000000"/>
                <w:sz w:val="18"/>
                <w:szCs w:val="18"/>
              </w:rPr>
              <w:t xml:space="preserve"> </w:t>
            </w:r>
          </w:p>
        </w:tc>
        <w:tc>
          <w:tcPr>
            <w:tcW w:w="2064" w:type="pct"/>
            <w:tcBorders>
              <w:top w:val="nil"/>
              <w:left w:val="nil"/>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jc w:val="right"/>
            </w:pPr>
            <w:r>
              <w:rPr>
                <w:rFonts w:cs="Times New Roman"/>
                <w:color w:val="000000"/>
                <w:sz w:val="18"/>
                <w:szCs w:val="18"/>
              </w:rPr>
              <w:t xml:space="preserve">            2,859,198.05 </w:t>
            </w:r>
          </w:p>
        </w:tc>
      </w:tr>
      <w:tr>
        <w:tblPrEx>
          <w:tblCellMar>
            <w:top w:w="0" w:type="dxa"/>
            <w:left w:w="0" w:type="dxa"/>
            <w:bottom w:w="0" w:type="dxa"/>
            <w:right w:w="0" w:type="dxa"/>
          </w:tblCellMar>
        </w:tblPrEx>
        <w:trPr>
          <w:trHeight w:val="300" w:hRule="atLeast"/>
        </w:trPr>
        <w:tc>
          <w:tcPr>
            <w:tcW w:w="2936" w:type="pct"/>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pPr>
            <w:r>
              <w:rPr>
                <w:rFonts w:cs="Times New Roman"/>
                <w:color w:val="000000"/>
                <w:sz w:val="18"/>
                <w:szCs w:val="18"/>
              </w:rPr>
              <w:t> </w:t>
            </w:r>
            <w:r>
              <w:rPr>
                <w:rFonts w:hint="eastAsia"/>
                <w:color w:val="000000"/>
                <w:sz w:val="18"/>
                <w:szCs w:val="18"/>
              </w:rPr>
              <w:t>合计</w:t>
            </w:r>
            <w:r>
              <w:rPr>
                <w:rFonts w:cs="Times New Roman"/>
                <w:color w:val="000000"/>
                <w:sz w:val="18"/>
                <w:szCs w:val="18"/>
              </w:rPr>
              <w:t xml:space="preserve"> </w:t>
            </w:r>
          </w:p>
        </w:tc>
        <w:tc>
          <w:tcPr>
            <w:tcW w:w="2064" w:type="pct"/>
            <w:tcBorders>
              <w:top w:val="nil"/>
              <w:left w:val="nil"/>
              <w:bottom w:val="single" w:color="auto" w:sz="8" w:space="0"/>
              <w:right w:val="single" w:color="auto" w:sz="8" w:space="0"/>
            </w:tcBorders>
            <w:noWrap/>
            <w:tcMar>
              <w:top w:w="0" w:type="dxa"/>
              <w:left w:w="108" w:type="dxa"/>
              <w:bottom w:w="0" w:type="dxa"/>
              <w:right w:w="108" w:type="dxa"/>
            </w:tcMar>
            <w:vAlign w:val="bottom"/>
          </w:tcPr>
          <w:p>
            <w:pPr>
              <w:pStyle w:val="11"/>
              <w:spacing w:before="0" w:beforeAutospacing="0" w:after="0" w:afterAutospacing="0"/>
              <w:jc w:val="right"/>
            </w:pPr>
            <w:r>
              <w:rPr>
                <w:rFonts w:cs="Times New Roman"/>
                <w:color w:val="000000"/>
                <w:sz w:val="18"/>
                <w:szCs w:val="18"/>
              </w:rPr>
              <w:t xml:space="preserve">        222,891,090.91 </w:t>
            </w:r>
          </w:p>
        </w:tc>
      </w:tr>
    </w:tbl>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报告期公司经营活动产生的现金流量净额与净利润存在差异22,289.11万元，主要原因是：</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①报告期实现投资收益12,813.87万元，该部分收益除理财产品投资收益外主要是对联营企业按权益法核算产生的投资收益，并未实际产生现金流入，收到的现金流入也属于投资活动产生的现金流不计入经营活动产生的现金流量；</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②报告期因增加合并单位及库存备货等原因，期末存货大幅增加，相应采购材料的支出增加；</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③报告期计提的信用减值损失、存货跌价损失、固定资产折旧、无形资产摊销等折旧摊销费用计入成本费用，但该部分成本费用并未在报告期产生现金流量；</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④报告期作为净利润的构成部分的公允价值变动收益及递延所得税的影响也未实际产生现金流量；</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⑤其他影响主要是经营性应收应付项目期初期末的差异对报告期经营活动现金流量的影响。</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综上，报告期由于构成净利润的主要组成部分的投资收益产生的现金流量计入投资活动或并未实质产生现金流量、存货大幅增加导致的采购支出增长及上述其他原因共同导致经营活动产生的现金流量与本年度净利润产生重大差异。</w:t>
      </w:r>
    </w:p>
    <w:p>
      <w:pPr>
        <w:pStyle w:val="3"/>
        <w:spacing w:before="300" w:after="300" w:line="320" w:lineRule="exact"/>
        <w:rPr>
          <w:rFonts w:ascii="宋体" w:hAnsi="宋体" w:eastAsia="宋体" w:cs="宋体"/>
          <w:b/>
          <w:bCs/>
          <w:sz w:val="24"/>
          <w:szCs w:val="24"/>
        </w:rPr>
      </w:pPr>
      <w:bookmarkStart w:id="32" w:name="_Toc988919"/>
      <w:r>
        <w:rPr>
          <w:rFonts w:ascii="宋体" w:hAnsi="宋体" w:eastAsia="宋体" w:cs="宋体"/>
          <w:b/>
          <w:bCs/>
          <w:sz w:val="24"/>
          <w:szCs w:val="24"/>
        </w:rPr>
        <w:t>五、非主营业务情况</w:t>
      </w:r>
      <w:bookmarkEnd w:id="32"/>
    </w:p>
    <w:p>
      <w:pPr>
        <w:spacing w:before="40" w:after="4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617"/>
        <w:gridCol w:w="1701"/>
        <w:gridCol w:w="2693"/>
        <w:gridCol w:w="170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6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占利润总额比例</w:t>
            </w:r>
          </w:p>
        </w:tc>
        <w:tc>
          <w:tcPr>
            <w:tcW w:w="269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形成原因说明</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是否具有可持续性</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投资收益</w:t>
            </w:r>
          </w:p>
        </w:tc>
        <w:tc>
          <w:tcPr>
            <w:tcW w:w="16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128,138,864.33</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51.53%</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联营企业实现的净利润、理财收益、及定期存款利息</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公允价值变动损益</w:t>
            </w:r>
          </w:p>
        </w:tc>
        <w:tc>
          <w:tcPr>
            <w:tcW w:w="16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6,588,110.66</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2.65%</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交易性金融资产（理财、权益投资）产生的公允价值变动</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不确定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资产减值</w:t>
            </w:r>
          </w:p>
        </w:tc>
        <w:tc>
          <w:tcPr>
            <w:tcW w:w="16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-2,130,359.31</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-0.86%</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存货跌价损失</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不确定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营业外收入</w:t>
            </w:r>
          </w:p>
        </w:tc>
        <w:tc>
          <w:tcPr>
            <w:tcW w:w="16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132,946.51</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0.05%</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不用支付的应付款项及违约金收入</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不确定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营业外支出</w:t>
            </w:r>
          </w:p>
        </w:tc>
        <w:tc>
          <w:tcPr>
            <w:tcW w:w="16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163,126.55</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0.07%</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非流动资产毁损报废损失等</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不确定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信用减值损失</w:t>
            </w:r>
          </w:p>
        </w:tc>
        <w:tc>
          <w:tcPr>
            <w:tcW w:w="16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-25,537,883.69</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-10.27%</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应收款项信用减值</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不确定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其他收益</w:t>
            </w:r>
          </w:p>
        </w:tc>
        <w:tc>
          <w:tcPr>
            <w:tcW w:w="16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34,839,435.58</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14.01%</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主要为软件产品增值税退税及政府补助</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r>
    </w:tbl>
    <w:p>
      <w:pPr>
        <w:pStyle w:val="3"/>
        <w:spacing w:before="300" w:after="300" w:line="320" w:lineRule="exact"/>
        <w:rPr>
          <w:rFonts w:ascii="宋体" w:hAnsi="宋体" w:eastAsia="宋体" w:cs="宋体"/>
          <w:b/>
          <w:bCs/>
          <w:sz w:val="24"/>
          <w:szCs w:val="24"/>
        </w:rPr>
      </w:pPr>
      <w:bookmarkStart w:id="33" w:name="_Toc988920"/>
    </w:p>
    <w:p/>
    <w:p>
      <w:pPr>
        <w:pStyle w:val="3"/>
        <w:spacing w:before="300" w:after="300" w:line="320" w:lineRule="exact"/>
        <w:rPr>
          <w:rFonts w:ascii="宋体" w:hAnsi="宋体" w:eastAsia="宋体" w:cs="宋体"/>
          <w:b/>
          <w:bCs/>
          <w:sz w:val="24"/>
          <w:szCs w:val="24"/>
        </w:rPr>
      </w:pPr>
      <w:r>
        <w:rPr>
          <w:rFonts w:ascii="宋体" w:hAnsi="宋体" w:eastAsia="宋体" w:cs="宋体"/>
          <w:b/>
          <w:bCs/>
          <w:sz w:val="24"/>
          <w:szCs w:val="24"/>
        </w:rPr>
        <w:t>六、资产及负债状况分析</w:t>
      </w:r>
      <w:bookmarkEnd w:id="33"/>
    </w:p>
    <w:p>
      <w:pPr>
        <w:pStyle w:val="4"/>
        <w:spacing w:line="280" w:lineRule="exact"/>
        <w:jc w:val="left"/>
        <w:rPr>
          <w:rFonts w:ascii="宋体" w:hAnsi="宋体" w:cs="宋体"/>
          <w:b/>
          <w:bCs/>
        </w:rPr>
      </w:pPr>
      <w:bookmarkStart w:id="34" w:name="_Toc988921"/>
      <w:r>
        <w:rPr>
          <w:rFonts w:ascii="宋体" w:hAnsi="宋体" w:cs="宋体"/>
          <w:b/>
          <w:bCs/>
        </w:rPr>
        <w:t>1、资产构成重大变动情况</w:t>
      </w:r>
      <w:bookmarkEnd w:id="34"/>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46"/>
        <w:gridCol w:w="1631"/>
        <w:gridCol w:w="1054"/>
        <w:gridCol w:w="1639"/>
        <w:gridCol w:w="1076"/>
        <w:gridCol w:w="1050"/>
        <w:gridCol w:w="184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tc>
        <w:tc>
          <w:tcPr>
            <w:tcW w:w="2685"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2022年末</w:t>
            </w:r>
          </w:p>
        </w:tc>
        <w:tc>
          <w:tcPr>
            <w:tcW w:w="2715"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2022年初</w:t>
            </w:r>
          </w:p>
        </w:tc>
        <w:tc>
          <w:tcPr>
            <w:tcW w:w="105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比重增减</w:t>
            </w:r>
          </w:p>
        </w:tc>
        <w:tc>
          <w:tcPr>
            <w:tcW w:w="1843"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重大变动说明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63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05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占总资产比例</w:t>
            </w:r>
          </w:p>
        </w:tc>
        <w:tc>
          <w:tcPr>
            <w:tcW w:w="163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0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占总资产比例</w:t>
            </w:r>
          </w:p>
        </w:tc>
        <w:tc>
          <w:tcPr>
            <w:tcW w:w="105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843"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34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货币资金</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512,363,248.10</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17.06%</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438,093,241.28</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17.78%</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-0.72%</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未发生重大变动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应收账款</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591,219,199.89</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19.68%</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598,030,215.47</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24.26%</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-4.58%</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未发生重大变动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存货</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508,595,262.14</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16.93%</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241,147,942.24</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9.78%</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7.15%</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报告期新增合并单位及增加库存备货所致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投资性房地产</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15,854,162.92</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0.53%</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21,896,876.73</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0.89%</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-0.36%</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报告期处置部分资产</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长期股权投资</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491,823,184.45</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16.37%</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454,087,978.04</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18.42%</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-2.05%</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主要是联营企业业绩增长及新增投资所致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固定资产</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273,310,291.64</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9.10%</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238,954,012.84</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9.70%</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-0.60%</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未发生重大变动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在建工程</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31,372,823.82</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12,755,871.64</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0.52%</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0.52%</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主要是报告期新增在建项目所致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使用权资产</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19,120.87</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76,483.27</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报告期摊销所致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短期借款</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38,023,069.45</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报告期新增合并单位天和永磁贷款所致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合同负债</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92,364,566.18</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3.08%</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30,844,928.70</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1.25%</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1.83%</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主要是报告期新增合并单位天和永磁预收货款所致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长期借款</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8,500,000.00</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0.28%</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900,000.00</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0.04%</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0.24%</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报告期新增合并单位天和永磁取得长期借款</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预付款项</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95,565,792.86</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3.18%</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9,398,687.03</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0.38%</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2.80%</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报告期新增合并单位天和永磁、川宇贸易预付采购款所致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其他应收款</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29,790,419.78</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0.99%</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22,708,412.98</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0.92%</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0.07%</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主要是报告期支付的投标保证金、项目借款及应收增值税即征即退税款增加所致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其他流动资产</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122,611,258.31</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4.08%</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273,214,368.46</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11.09%</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-7.01%</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主要是报告期末尚未到期的定期存款余额减少所致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34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商誉</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172,707,747.08</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5.75%</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5,398,496.96</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0.22%</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5.53%</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报告期新增合并天和永磁产生的商誉</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长期待摊费用</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1,335,149.15</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0.04%</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900,692.89</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0.04%</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报告期新增装修项目所致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应付票据</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1,400,000.00</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0.05%</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0.05%</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报告期新增票据业务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应付账款</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199,211,428.81</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6.63%</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147,871,074.97</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6.00%</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0.63%</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主要是报告期新增合并单位天和永磁应付账款所致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一年内到期的非流动负债</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1,500,000.00</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0.05%</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68,508.82</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0.05%</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报告期天和永磁长期借款将于一年内到期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030" w:hRule="atLeast"/>
        </w:trPr>
        <w:tc>
          <w:tcPr>
            <w:tcW w:w="134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其他流动负债</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10,707,602.96</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0.36%</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3,459,245.26</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0.14%</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0.22%</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主要是报告期新增合并单位天和永磁预收货款待转销项税额所致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长期应付款</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102,311,666.66</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3.41%</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3.41%</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报告期天和永磁取得三川集团长期借款</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4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递延所得税负债</w:t>
            </w:r>
          </w:p>
        </w:tc>
        <w:tc>
          <w:tcPr>
            <w:tcW w:w="163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4,691,034.08</w:t>
            </w:r>
          </w:p>
        </w:tc>
        <w:tc>
          <w:tcPr>
            <w:tcW w:w="10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0.16%</w:t>
            </w:r>
          </w:p>
        </w:tc>
        <w:tc>
          <w:tcPr>
            <w:tcW w:w="16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2,116,110.64</w:t>
            </w:r>
          </w:p>
        </w:tc>
        <w:tc>
          <w:tcPr>
            <w:tcW w:w="10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0.09%</w:t>
            </w:r>
          </w:p>
        </w:tc>
        <w:tc>
          <w:tcPr>
            <w:tcW w:w="10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0.07%</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报告期并购天和永磁产生的资产增值及公允价值变动收益所致</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境外资产占比较高</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pStyle w:val="4"/>
        <w:spacing w:line="280" w:lineRule="exact"/>
        <w:jc w:val="left"/>
        <w:rPr>
          <w:rFonts w:ascii="宋体" w:hAnsi="宋体" w:cs="宋体"/>
          <w:b/>
          <w:bCs/>
        </w:rPr>
      </w:pPr>
      <w:bookmarkStart w:id="35" w:name="_Toc988922"/>
      <w:r>
        <w:rPr>
          <w:rFonts w:ascii="宋体" w:hAnsi="宋体" w:cs="宋体"/>
          <w:b/>
          <w:bCs/>
        </w:rPr>
        <w:t>2、以公允价值计量的资产和负债</w:t>
      </w:r>
      <w:bookmarkEnd w:id="35"/>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71"/>
        <w:gridCol w:w="1071"/>
        <w:gridCol w:w="1071"/>
        <w:gridCol w:w="1071"/>
        <w:gridCol w:w="1071"/>
        <w:gridCol w:w="1071"/>
        <w:gridCol w:w="1071"/>
        <w:gridCol w:w="1071"/>
        <w:gridCol w:w="107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期初数</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本期公允价值变动损益</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计入权益的累计公允价值变动</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本期计提的减值</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本期购买金额</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本期出售金额</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其他变动</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9"/>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金融资产</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1.交易性金融资产（不含衍生金融资产）</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39,107,404.30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6,588,110.66</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20,695,514.96</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400,000,000.00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400,000,000.00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41,019,613.00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上述合计</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39,107,404.30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6,588,110.66</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20,695,514.96</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400,000,000.00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400,000,000.00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41,019,613.00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金融负债</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其他变动的内容</w:t>
      </w:r>
    </w:p>
    <w:p>
      <w:pPr>
        <w:spacing w:before="100" w:after="100" w:line="240" w:lineRule="exact"/>
        <w:rPr>
          <w:rFonts w:ascii="宋体" w:hAnsi="宋体" w:eastAsia="宋体" w:cs="宋体"/>
          <w:sz w:val="18"/>
          <w:szCs w:val="18"/>
        </w:rPr>
      </w:pPr>
      <w:r>
        <w:rPr>
          <w:rFonts w:ascii="宋体" w:hAnsi="宋体" w:eastAsia="宋体" w:cs="宋体"/>
          <w:sz w:val="18"/>
          <w:szCs w:val="18"/>
        </w:rPr>
        <w:t>报告期内公司主要资产计量属性是否发生重大变化</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□是 </w:t>
      </w:r>
      <w:r>
        <w:rPr>
          <w:szCs w:val="24"/>
        </w:rPr>
        <w:t xml:space="preserve">√ </w:t>
      </w:r>
      <w:r>
        <w:rPr>
          <w:rFonts w:ascii="宋体" w:hAnsi="宋体" w:eastAsia="宋体" w:cs="宋体"/>
          <w:sz w:val="18"/>
          <w:szCs w:val="18"/>
        </w:rPr>
        <w:t>否</w:t>
      </w:r>
    </w:p>
    <w:p>
      <w:pPr>
        <w:pStyle w:val="4"/>
        <w:spacing w:line="280" w:lineRule="exact"/>
        <w:jc w:val="left"/>
        <w:rPr>
          <w:rFonts w:ascii="宋体" w:hAnsi="宋体" w:cs="宋体"/>
          <w:b/>
          <w:bCs/>
        </w:rPr>
      </w:pPr>
      <w:bookmarkStart w:id="36" w:name="_Toc988923"/>
      <w:r>
        <w:rPr>
          <w:rFonts w:ascii="宋体" w:hAnsi="宋体" w:cs="宋体"/>
          <w:b/>
          <w:bCs/>
        </w:rPr>
        <w:t>3、截至报告期末的资产权利受限情况</w:t>
      </w:r>
      <w:bookmarkEnd w:id="36"/>
    </w:p>
    <w:tbl>
      <w:tblPr>
        <w:tblStyle w:val="13"/>
        <w:tblW w:w="0" w:type="auto"/>
        <w:tblInd w:w="0" w:type="dxa"/>
        <w:tblLayout w:type="autofit"/>
        <w:tblCellMar>
          <w:top w:w="0" w:type="dxa"/>
          <w:left w:w="0" w:type="dxa"/>
          <w:bottom w:w="0" w:type="dxa"/>
          <w:right w:w="0" w:type="dxa"/>
        </w:tblCellMar>
      </w:tblPr>
      <w:tblGrid>
        <w:gridCol w:w="2750"/>
        <w:gridCol w:w="1827"/>
        <w:gridCol w:w="4227"/>
      </w:tblGrid>
      <w:tr>
        <w:tblPrEx>
          <w:tblCellMar>
            <w:top w:w="0" w:type="dxa"/>
            <w:left w:w="0" w:type="dxa"/>
            <w:bottom w:w="0" w:type="dxa"/>
            <w:right w:w="0" w:type="dxa"/>
          </w:tblCellMar>
        </w:tblPrEx>
        <w:trPr>
          <w:trHeight w:val="283" w:hRule="atLeast"/>
          <w:tblHeader/>
        </w:trPr>
        <w:tc>
          <w:tcPr>
            <w:tcW w:w="27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项目</w:t>
            </w:r>
          </w:p>
        </w:tc>
        <w:tc>
          <w:tcPr>
            <w:tcW w:w="182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期末账面价值</w:t>
            </w:r>
          </w:p>
        </w:tc>
        <w:tc>
          <w:tcPr>
            <w:tcW w:w="422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受限原因</w:t>
            </w:r>
          </w:p>
        </w:tc>
      </w:tr>
      <w:tr>
        <w:tblPrEx>
          <w:tblCellMar>
            <w:top w:w="0" w:type="dxa"/>
            <w:left w:w="0" w:type="dxa"/>
            <w:bottom w:w="0" w:type="dxa"/>
            <w:right w:w="0" w:type="dxa"/>
          </w:tblCellMar>
        </w:tblPrEx>
        <w:trPr>
          <w:trHeight w:val="283" w:hRule="atLeast"/>
        </w:trPr>
        <w:tc>
          <w:tcPr>
            <w:tcW w:w="27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both"/>
              <w:rPr>
                <w:rFonts w:cs="Times New Roman"/>
                <w:sz w:val="18"/>
                <w:szCs w:val="18"/>
              </w:rPr>
            </w:pPr>
            <w:r>
              <w:rPr>
                <w:rFonts w:hint="eastAsia" w:cs="Times New Roman"/>
                <w:sz w:val="18"/>
                <w:szCs w:val="18"/>
              </w:rPr>
              <w:t>货币资金</w:t>
            </w:r>
          </w:p>
        </w:tc>
        <w:tc>
          <w:tcPr>
            <w:tcW w:w="1827"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right"/>
              <w:rPr>
                <w:rFonts w:cs="Times New Roman"/>
                <w:sz w:val="18"/>
                <w:szCs w:val="18"/>
              </w:rPr>
            </w:pPr>
            <w:r>
              <w:rPr>
                <w:rFonts w:cs="Times New Roman"/>
                <w:sz w:val="18"/>
                <w:szCs w:val="18"/>
              </w:rPr>
              <w:t>10,033,527.47</w:t>
            </w:r>
          </w:p>
        </w:tc>
        <w:tc>
          <w:tcPr>
            <w:tcW w:w="4227"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center"/>
              <w:rPr>
                <w:rFonts w:cs="Times New Roman"/>
                <w:sz w:val="18"/>
                <w:szCs w:val="18"/>
              </w:rPr>
            </w:pPr>
            <w:r>
              <w:rPr>
                <w:rFonts w:cs="Times New Roman"/>
                <w:sz w:val="18"/>
                <w:szCs w:val="18"/>
              </w:rPr>
              <w:t> </w:t>
            </w:r>
          </w:p>
        </w:tc>
      </w:tr>
      <w:tr>
        <w:tblPrEx>
          <w:tblCellMar>
            <w:top w:w="0" w:type="dxa"/>
            <w:left w:w="0" w:type="dxa"/>
            <w:bottom w:w="0" w:type="dxa"/>
            <w:right w:w="0" w:type="dxa"/>
          </w:tblCellMar>
        </w:tblPrEx>
        <w:trPr>
          <w:trHeight w:val="283" w:hRule="atLeast"/>
        </w:trPr>
        <w:tc>
          <w:tcPr>
            <w:tcW w:w="27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both"/>
              <w:rPr>
                <w:rFonts w:cs="Times New Roman"/>
                <w:sz w:val="18"/>
                <w:szCs w:val="18"/>
              </w:rPr>
            </w:pPr>
            <w:r>
              <w:rPr>
                <w:rFonts w:hint="eastAsia" w:cs="Times New Roman"/>
                <w:sz w:val="18"/>
                <w:szCs w:val="18"/>
              </w:rPr>
              <w:t>其中：银行承兑汇票保证金</w:t>
            </w:r>
          </w:p>
        </w:tc>
        <w:tc>
          <w:tcPr>
            <w:tcW w:w="1827"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right"/>
              <w:rPr>
                <w:rFonts w:cs="Times New Roman"/>
                <w:sz w:val="18"/>
                <w:szCs w:val="18"/>
              </w:rPr>
            </w:pPr>
            <w:r>
              <w:rPr>
                <w:rFonts w:cs="Times New Roman"/>
                <w:sz w:val="18"/>
                <w:szCs w:val="18"/>
              </w:rPr>
              <w:t>1,400,000.00</w:t>
            </w:r>
          </w:p>
        </w:tc>
        <w:tc>
          <w:tcPr>
            <w:tcW w:w="4227"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both"/>
              <w:rPr>
                <w:rFonts w:cs="Times New Roman"/>
                <w:sz w:val="18"/>
                <w:szCs w:val="18"/>
              </w:rPr>
            </w:pPr>
            <w:r>
              <w:rPr>
                <w:rFonts w:hint="eastAsia" w:cs="Times New Roman"/>
                <w:sz w:val="18"/>
                <w:szCs w:val="18"/>
              </w:rPr>
              <w:t>开立银行承兑汇票的保证金</w:t>
            </w:r>
          </w:p>
        </w:tc>
      </w:tr>
      <w:tr>
        <w:tblPrEx>
          <w:tblCellMar>
            <w:top w:w="0" w:type="dxa"/>
            <w:left w:w="0" w:type="dxa"/>
            <w:bottom w:w="0" w:type="dxa"/>
            <w:right w:w="0" w:type="dxa"/>
          </w:tblCellMar>
        </w:tblPrEx>
        <w:trPr>
          <w:trHeight w:val="283" w:hRule="atLeast"/>
        </w:trPr>
        <w:tc>
          <w:tcPr>
            <w:tcW w:w="27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both"/>
              <w:rPr>
                <w:rFonts w:cs="Times New Roman"/>
                <w:sz w:val="18"/>
                <w:szCs w:val="18"/>
              </w:rPr>
            </w:pPr>
            <w:r>
              <w:rPr>
                <w:rFonts w:hint="eastAsia" w:cs="Times New Roman"/>
                <w:sz w:val="18"/>
                <w:szCs w:val="18"/>
              </w:rPr>
              <w:t>共管账户存款</w:t>
            </w:r>
          </w:p>
        </w:tc>
        <w:tc>
          <w:tcPr>
            <w:tcW w:w="1827"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right"/>
              <w:rPr>
                <w:rFonts w:cs="Times New Roman"/>
                <w:sz w:val="18"/>
                <w:szCs w:val="18"/>
              </w:rPr>
            </w:pPr>
            <w:r>
              <w:rPr>
                <w:rFonts w:cs="Times New Roman"/>
                <w:sz w:val="18"/>
                <w:szCs w:val="18"/>
              </w:rPr>
              <w:t>1,040,447.78</w:t>
            </w:r>
          </w:p>
        </w:tc>
        <w:tc>
          <w:tcPr>
            <w:tcW w:w="4227"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both"/>
              <w:rPr>
                <w:rFonts w:cs="Times New Roman"/>
                <w:sz w:val="18"/>
                <w:szCs w:val="18"/>
              </w:rPr>
            </w:pPr>
            <w:r>
              <w:rPr>
                <w:rFonts w:hint="eastAsia" w:cs="Times New Roman"/>
                <w:sz w:val="18"/>
                <w:szCs w:val="18"/>
              </w:rPr>
              <w:t>与客户共同开立的银行共管账户的存款</w:t>
            </w:r>
          </w:p>
        </w:tc>
      </w:tr>
      <w:tr>
        <w:tblPrEx>
          <w:tblCellMar>
            <w:top w:w="0" w:type="dxa"/>
            <w:left w:w="0" w:type="dxa"/>
            <w:bottom w:w="0" w:type="dxa"/>
            <w:right w:w="0" w:type="dxa"/>
          </w:tblCellMar>
        </w:tblPrEx>
        <w:trPr>
          <w:trHeight w:val="283" w:hRule="atLeast"/>
        </w:trPr>
        <w:tc>
          <w:tcPr>
            <w:tcW w:w="27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both"/>
              <w:rPr>
                <w:rFonts w:cs="Times New Roman"/>
                <w:sz w:val="18"/>
                <w:szCs w:val="18"/>
              </w:rPr>
            </w:pPr>
            <w:r>
              <w:rPr>
                <w:rFonts w:hint="eastAsia" w:cs="Times New Roman"/>
                <w:sz w:val="18"/>
                <w:szCs w:val="18"/>
              </w:rPr>
              <w:t>保函保证金</w:t>
            </w:r>
          </w:p>
        </w:tc>
        <w:tc>
          <w:tcPr>
            <w:tcW w:w="1827"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right"/>
              <w:rPr>
                <w:rFonts w:cs="Times New Roman"/>
                <w:sz w:val="18"/>
                <w:szCs w:val="18"/>
              </w:rPr>
            </w:pPr>
            <w:r>
              <w:rPr>
                <w:rFonts w:cs="Times New Roman"/>
                <w:sz w:val="18"/>
                <w:szCs w:val="18"/>
              </w:rPr>
              <w:t>7,593,079.69</w:t>
            </w:r>
          </w:p>
        </w:tc>
        <w:tc>
          <w:tcPr>
            <w:tcW w:w="4227"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both"/>
              <w:rPr>
                <w:rFonts w:cs="Times New Roman"/>
                <w:sz w:val="18"/>
                <w:szCs w:val="18"/>
              </w:rPr>
            </w:pPr>
            <w:r>
              <w:rPr>
                <w:rFonts w:hint="eastAsia" w:cs="Times New Roman"/>
                <w:sz w:val="18"/>
                <w:szCs w:val="18"/>
              </w:rPr>
              <w:t>申请银行保函的保证金</w:t>
            </w:r>
          </w:p>
        </w:tc>
      </w:tr>
      <w:tr>
        <w:tblPrEx>
          <w:tblCellMar>
            <w:top w:w="0" w:type="dxa"/>
            <w:left w:w="0" w:type="dxa"/>
            <w:bottom w:w="0" w:type="dxa"/>
            <w:right w:w="0" w:type="dxa"/>
          </w:tblCellMar>
        </w:tblPrEx>
        <w:trPr>
          <w:trHeight w:val="283" w:hRule="atLeast"/>
        </w:trPr>
        <w:tc>
          <w:tcPr>
            <w:tcW w:w="27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both"/>
              <w:rPr>
                <w:rFonts w:cs="Times New Roman"/>
                <w:sz w:val="18"/>
                <w:szCs w:val="18"/>
              </w:rPr>
            </w:pPr>
            <w:r>
              <w:rPr>
                <w:rFonts w:hint="eastAsia" w:cs="Times New Roman"/>
                <w:sz w:val="18"/>
                <w:szCs w:val="18"/>
              </w:rPr>
              <w:t>固定资产</w:t>
            </w:r>
          </w:p>
        </w:tc>
        <w:tc>
          <w:tcPr>
            <w:tcW w:w="1827"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right"/>
              <w:rPr>
                <w:rFonts w:cs="Times New Roman"/>
                <w:sz w:val="18"/>
                <w:szCs w:val="18"/>
              </w:rPr>
            </w:pPr>
            <w:r>
              <w:rPr>
                <w:rFonts w:cs="Times New Roman"/>
                <w:sz w:val="18"/>
                <w:szCs w:val="18"/>
              </w:rPr>
              <w:t>29,824,337.93</w:t>
            </w:r>
          </w:p>
        </w:tc>
        <w:tc>
          <w:tcPr>
            <w:tcW w:w="4227"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both"/>
              <w:rPr>
                <w:rFonts w:cs="Times New Roman"/>
                <w:sz w:val="18"/>
                <w:szCs w:val="18"/>
              </w:rPr>
            </w:pPr>
            <w:r>
              <w:rPr>
                <w:rFonts w:hint="eastAsia" w:cs="Times New Roman"/>
                <w:sz w:val="18"/>
                <w:szCs w:val="18"/>
              </w:rPr>
              <w:t>子公司赣州天和永磁材料有限公司取得招商银行赣州分行</w:t>
            </w:r>
            <w:r>
              <w:rPr>
                <w:rFonts w:cs="Times New Roman"/>
                <w:sz w:val="18"/>
                <w:szCs w:val="18"/>
              </w:rPr>
              <w:t>800</w:t>
            </w:r>
            <w:r>
              <w:rPr>
                <w:rFonts w:hint="eastAsia" w:cs="Times New Roman"/>
                <w:sz w:val="18"/>
                <w:szCs w:val="18"/>
              </w:rPr>
              <w:t>万元抵押借款的抵押物</w:t>
            </w:r>
          </w:p>
        </w:tc>
      </w:tr>
      <w:tr>
        <w:tblPrEx>
          <w:tblCellMar>
            <w:top w:w="0" w:type="dxa"/>
            <w:left w:w="0" w:type="dxa"/>
            <w:bottom w:w="0" w:type="dxa"/>
            <w:right w:w="0" w:type="dxa"/>
          </w:tblCellMar>
        </w:tblPrEx>
        <w:trPr>
          <w:trHeight w:val="283" w:hRule="atLeast"/>
        </w:trPr>
        <w:tc>
          <w:tcPr>
            <w:tcW w:w="27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both"/>
              <w:rPr>
                <w:rFonts w:cs="Times New Roman"/>
                <w:sz w:val="18"/>
                <w:szCs w:val="18"/>
              </w:rPr>
            </w:pPr>
            <w:r>
              <w:rPr>
                <w:rFonts w:hint="eastAsia" w:cs="Times New Roman"/>
                <w:sz w:val="18"/>
                <w:szCs w:val="18"/>
              </w:rPr>
              <w:t>无形资产</w:t>
            </w:r>
          </w:p>
        </w:tc>
        <w:tc>
          <w:tcPr>
            <w:tcW w:w="1827"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right"/>
              <w:rPr>
                <w:rFonts w:cs="Times New Roman"/>
                <w:sz w:val="18"/>
                <w:szCs w:val="18"/>
              </w:rPr>
            </w:pPr>
            <w:r>
              <w:rPr>
                <w:rFonts w:cs="Times New Roman"/>
                <w:sz w:val="18"/>
                <w:szCs w:val="18"/>
              </w:rPr>
              <w:t>6,533,242.95</w:t>
            </w:r>
          </w:p>
        </w:tc>
        <w:tc>
          <w:tcPr>
            <w:tcW w:w="0" w:type="auto"/>
            <w:vMerge w:val="continue"/>
            <w:tcBorders>
              <w:top w:val="nil"/>
              <w:left w:val="nil"/>
              <w:bottom w:val="single" w:color="auto" w:sz="8" w:space="0"/>
              <w:right w:val="single" w:color="auto" w:sz="8" w:space="0"/>
            </w:tcBorders>
            <w:vAlign w:val="center"/>
          </w:tcPr>
          <w:p>
            <w:pPr>
              <w:rPr>
                <w:rFonts w:ascii="宋体" w:hAnsi="宋体" w:eastAsia="宋体" w:cs="Times New Roman"/>
                <w:sz w:val="18"/>
                <w:szCs w:val="18"/>
              </w:rPr>
            </w:pPr>
          </w:p>
        </w:tc>
      </w:tr>
      <w:tr>
        <w:tblPrEx>
          <w:tblCellMar>
            <w:top w:w="0" w:type="dxa"/>
            <w:left w:w="0" w:type="dxa"/>
            <w:bottom w:w="0" w:type="dxa"/>
            <w:right w:w="0" w:type="dxa"/>
          </w:tblCellMar>
        </w:tblPrEx>
        <w:trPr>
          <w:trHeight w:val="283" w:hRule="atLeast"/>
        </w:trPr>
        <w:tc>
          <w:tcPr>
            <w:tcW w:w="27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合计</w:t>
            </w:r>
          </w:p>
        </w:tc>
        <w:tc>
          <w:tcPr>
            <w:tcW w:w="1827"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right"/>
              <w:rPr>
                <w:rFonts w:cs="Times New Roman"/>
                <w:sz w:val="18"/>
                <w:szCs w:val="18"/>
              </w:rPr>
            </w:pPr>
            <w:r>
              <w:rPr>
                <w:rFonts w:cs="Times New Roman"/>
                <w:sz w:val="18"/>
                <w:szCs w:val="18"/>
              </w:rPr>
              <w:t>46,391,108.35</w:t>
            </w:r>
          </w:p>
        </w:tc>
        <w:tc>
          <w:tcPr>
            <w:tcW w:w="4227"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center"/>
              <w:rPr>
                <w:rFonts w:cs="Times New Roman"/>
                <w:sz w:val="18"/>
                <w:szCs w:val="18"/>
              </w:rPr>
            </w:pPr>
            <w:r>
              <w:rPr>
                <w:rFonts w:cs="Times New Roman"/>
                <w:sz w:val="18"/>
                <w:szCs w:val="18"/>
              </w:rPr>
              <w:t> </w:t>
            </w:r>
          </w:p>
        </w:tc>
      </w:tr>
    </w:tbl>
    <w:p>
      <w:pPr>
        <w:pStyle w:val="3"/>
        <w:spacing w:before="300" w:after="300" w:line="320" w:lineRule="exact"/>
        <w:rPr>
          <w:rFonts w:ascii="宋体" w:hAnsi="宋体" w:eastAsia="宋体" w:cs="宋体"/>
          <w:b/>
          <w:bCs/>
          <w:sz w:val="24"/>
          <w:szCs w:val="24"/>
        </w:rPr>
      </w:pPr>
      <w:bookmarkStart w:id="37" w:name="_Toc988924"/>
      <w:r>
        <w:rPr>
          <w:rFonts w:ascii="宋体" w:hAnsi="宋体" w:eastAsia="宋体" w:cs="宋体"/>
          <w:b/>
          <w:bCs/>
          <w:sz w:val="24"/>
          <w:szCs w:val="24"/>
        </w:rPr>
        <w:t>七、投资状况分析</w:t>
      </w:r>
      <w:bookmarkEnd w:id="37"/>
    </w:p>
    <w:p>
      <w:pPr>
        <w:pStyle w:val="4"/>
        <w:spacing w:line="280" w:lineRule="exact"/>
        <w:jc w:val="left"/>
        <w:rPr>
          <w:rFonts w:ascii="宋体" w:hAnsi="宋体" w:cs="宋体"/>
          <w:b/>
          <w:bCs/>
        </w:rPr>
      </w:pPr>
      <w:bookmarkStart w:id="38" w:name="_Toc988925"/>
      <w:r>
        <w:rPr>
          <w:rFonts w:ascii="宋体" w:hAnsi="宋体" w:cs="宋体"/>
          <w:b/>
          <w:bCs/>
        </w:rPr>
        <w:t>1、总体情况</w:t>
      </w:r>
      <w:bookmarkEnd w:id="38"/>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报告期投资额（元）</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上年同期投资额（元）</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变动幅度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278,546,013.71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73,059,682.00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281.26%</w:t>
            </w:r>
          </w:p>
        </w:tc>
      </w:tr>
    </w:tbl>
    <w:p>
      <w:pPr>
        <w:pStyle w:val="4"/>
        <w:spacing w:line="280" w:lineRule="exact"/>
        <w:jc w:val="left"/>
        <w:rPr>
          <w:rFonts w:ascii="宋体" w:hAnsi="宋体" w:cs="宋体"/>
          <w:b/>
          <w:bCs/>
        </w:rPr>
      </w:pPr>
      <w:bookmarkStart w:id="39" w:name="_Toc988926"/>
      <w:r>
        <w:rPr>
          <w:rFonts w:ascii="宋体" w:hAnsi="宋体" w:cs="宋体"/>
          <w:b/>
          <w:bCs/>
        </w:rPr>
        <w:t>2、报告期内获取的重大的股权投资情况</w:t>
      </w:r>
      <w:bookmarkEnd w:id="39"/>
    </w:p>
    <w:p>
      <w:pPr>
        <w:spacing w:before="40" w:after="4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74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49"/>
        <w:gridCol w:w="649"/>
        <w:gridCol w:w="649"/>
        <w:gridCol w:w="650"/>
        <w:gridCol w:w="650"/>
        <w:gridCol w:w="650"/>
        <w:gridCol w:w="650"/>
        <w:gridCol w:w="650"/>
        <w:gridCol w:w="650"/>
        <w:gridCol w:w="650"/>
        <w:gridCol w:w="650"/>
        <w:gridCol w:w="650"/>
        <w:gridCol w:w="650"/>
        <w:gridCol w:w="650"/>
        <w:gridCol w:w="65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bookmarkStart w:id="40" w:name="_Toc988927"/>
            <w:r>
              <w:rPr>
                <w:rFonts w:ascii="宋体" w:hAnsi="宋体" w:eastAsia="宋体" w:cs="宋体"/>
                <w:sz w:val="18"/>
                <w:szCs w:val="18"/>
              </w:rPr>
              <w:t>被投资公司名称</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主要业务</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投资方式</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投资金额</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持股比例</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资金来源</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合作方</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投资期限</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产品类型</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截至资产负债表日的进展情况</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预计收益</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本期投资盈亏</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是否涉诉</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披露日期（如有）</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披露索引（如有）</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赣州川益科技有限公司</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从事金属废料和碎屑加工处理等</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新设</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7,000,000.00</w:t>
            </w:r>
            <w:r>
              <w:rPr>
                <w:rFonts w:ascii="Times New Roman" w:hAnsi="Times New Roman" w:eastAsia="宋体" w:cs="Times New Roman"/>
                <w:color w:val="F00000"/>
                <w:vertAlign w:val="superscript"/>
              </w:rPr>
              <w:t>1</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35.00%</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自有资金</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赣州集盛科技有限责任公司</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长期</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股权投资</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公司已登记注册，暂未实际开展经营活动</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2022年04月29日</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http://www.cninfo.com.cn2022-028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从事钕铁硼废料的回收加工及受托加工业务等</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收购</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214,395,700.00</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67.00%</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自有资金</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陈久昌、周钢华、舒金澄及中国南方稀土集团有限公司</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长期</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股权投资</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股权产权已全部过户</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25,593,287.62</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2022年06月29日</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http://www.cninfo.com.cn2022-037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赣州川宇国际贸易有限公司</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从事稀土矿及相关产品进出口贸易等</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新设</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55,000,000.00</w:t>
            </w:r>
            <w:r>
              <w:rPr>
                <w:rFonts w:ascii="Times New Roman" w:hAnsi="Times New Roman" w:eastAsia="宋体" w:cs="Times New Roman"/>
                <w:color w:val="F00000"/>
                <w:vertAlign w:val="superscript"/>
              </w:rPr>
              <w:t>2</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55.00%</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自有资金</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北京铂宇天地科技发展有限公司、周钢华、舒金澄及郑田田</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长期</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股权投资</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公司已登记注册，并实际开展经营活动</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-393,338.05</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2022年08月09日</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http://www.cninfo.com.cn2022-047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赣州三川稀土有限责任公司</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从事稀土功能材料、金属、合金及其化合物销售等</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新设</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50,000,000.00</w:t>
            </w:r>
            <w:r>
              <w:rPr>
                <w:rFonts w:ascii="Times New Roman" w:hAnsi="Times New Roman" w:eastAsia="宋体" w:cs="Times New Roman"/>
                <w:color w:val="F00000"/>
                <w:vertAlign w:val="superscript"/>
              </w:rPr>
              <w:t>3</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自有资金</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三川智慧科技股份有限公司</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长期</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股权投资</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公司已登记注册，暂未实际开展经营活动</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-440.46</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2022年10月26日</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http://www.cninfo.com.cn2022-061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326,395,700.00</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25,199,509.11</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bl>
    <w:p>
      <w:pPr>
        <w:rPr>
          <w:rFonts w:ascii="宋体" w:hAnsi="宋体" w:eastAsia="宋体" w:cs="宋体"/>
          <w:sz w:val="18"/>
          <w:szCs w:val="18"/>
        </w:rPr>
      </w:pPr>
      <w:r>
        <w:rPr>
          <w:rFonts w:hint="eastAsia" w:ascii="宋体" w:hAnsi="宋体" w:eastAsia="宋体" w:cs="宋体"/>
          <w:sz w:val="18"/>
          <w:szCs w:val="18"/>
        </w:rPr>
        <w:t>注：1 截止报告期末实际未出资。</w:t>
      </w:r>
    </w:p>
    <w:p>
      <w:pPr>
        <w:rPr>
          <w:rFonts w:ascii="宋体" w:hAnsi="宋体" w:eastAsia="宋体" w:cs="宋体"/>
          <w:sz w:val="18"/>
          <w:szCs w:val="18"/>
        </w:rPr>
      </w:pPr>
      <w:r>
        <w:rPr>
          <w:rFonts w:hint="eastAsia" w:ascii="宋体" w:hAnsi="宋体" w:eastAsia="宋体" w:cs="宋体"/>
          <w:sz w:val="18"/>
          <w:szCs w:val="18"/>
        </w:rPr>
        <w:t>2 截止报告期末实际出资27,500,000元。</w:t>
      </w:r>
    </w:p>
    <w:p>
      <w:pPr>
        <w:rPr>
          <w:rFonts w:ascii="宋体" w:hAnsi="宋体" w:cs="宋体"/>
          <w:b/>
          <w:bCs/>
        </w:rPr>
      </w:pPr>
      <w:r>
        <w:rPr>
          <w:rFonts w:hint="eastAsia" w:ascii="宋体" w:hAnsi="宋体" w:eastAsia="宋体" w:cs="宋体"/>
          <w:sz w:val="18"/>
          <w:szCs w:val="18"/>
        </w:rPr>
        <w:t>3 截止报告期末实际出资2,000,000元</w:t>
      </w:r>
      <w:r>
        <w:rPr>
          <w:rFonts w:ascii="仿宋" w:hAnsi="仿宋" w:eastAsia="仿宋" w:cs="仿宋"/>
        </w:rPr>
        <w:t>。</w:t>
      </w:r>
    </w:p>
    <w:p>
      <w:pPr>
        <w:pStyle w:val="4"/>
        <w:spacing w:line="280" w:lineRule="exact"/>
        <w:jc w:val="left"/>
        <w:rPr>
          <w:rFonts w:ascii="宋体" w:hAnsi="宋体" w:cs="宋体"/>
          <w:b/>
          <w:bCs/>
        </w:rPr>
      </w:pPr>
      <w:r>
        <w:rPr>
          <w:rFonts w:ascii="宋体" w:hAnsi="宋体" w:cs="宋体"/>
          <w:b/>
          <w:bCs/>
        </w:rPr>
        <w:t>3、报告期内正在进行的重大的非股权投资情况</w:t>
      </w:r>
      <w:bookmarkEnd w:id="40"/>
    </w:p>
    <w:p>
      <w:pPr>
        <w:spacing w:before="40" w:after="4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42"/>
        <w:gridCol w:w="742"/>
        <w:gridCol w:w="742"/>
        <w:gridCol w:w="742"/>
        <w:gridCol w:w="742"/>
        <w:gridCol w:w="742"/>
        <w:gridCol w:w="741"/>
        <w:gridCol w:w="741"/>
        <w:gridCol w:w="741"/>
        <w:gridCol w:w="741"/>
        <w:gridCol w:w="741"/>
        <w:gridCol w:w="741"/>
        <w:gridCol w:w="74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项目名称</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投资方式</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是否为固定资产投资</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投资项目涉及行业</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本报告期投入金额</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截至报告期末累计实际投入金额</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资金来源</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项目进度</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预计收益</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截止报告期末累计实现的收益</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未达到计划进度和预计收益的原因</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披露日期（如有）</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披露索引（如有）</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年产500万只水表智能工厂建设项目</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自建</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仪器仪表制造</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18,623,514.42</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18,623,514.42</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自有资金</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2022年06月29日</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http://www.cninfo.com.cn2022-036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年产3000吨稀土氧化物二次资源综合利用技术改造项目</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自建</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稀土资源回收利用</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5,981,345.29</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5,981,345.29</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自有资金和银行贷款</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2022年11月12日</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http://www.cninfo.com.cn2022-067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24,604,859.71</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24,604,859.71</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bl>
    <w:p>
      <w:pPr>
        <w:pStyle w:val="4"/>
        <w:spacing w:line="280" w:lineRule="exact"/>
        <w:jc w:val="left"/>
        <w:rPr>
          <w:rFonts w:ascii="宋体" w:hAnsi="宋体" w:cs="宋体"/>
          <w:b/>
          <w:bCs/>
        </w:rPr>
      </w:pPr>
      <w:bookmarkStart w:id="41" w:name="_Toc988928"/>
      <w:r>
        <w:rPr>
          <w:rFonts w:ascii="宋体" w:hAnsi="宋体" w:cs="宋体"/>
          <w:b/>
          <w:bCs/>
        </w:rPr>
        <w:t>4、金融资产投资</w:t>
      </w:r>
      <w:bookmarkEnd w:id="41"/>
    </w:p>
    <w:p>
      <w:pPr>
        <w:keepNext/>
        <w:keepLines/>
        <w:spacing w:before="300" w:after="300" w:line="280" w:lineRule="exact"/>
        <w:outlineLvl w:val="3"/>
        <w:rPr>
          <w:rFonts w:ascii="宋体" w:hAnsi="宋体" w:eastAsia="宋体" w:cs="宋体"/>
          <w:b/>
          <w:bCs/>
          <w:sz w:val="18"/>
          <w:szCs w:val="18"/>
        </w:rPr>
      </w:pPr>
      <w:bookmarkStart w:id="42" w:name="_Toc988929"/>
      <w:r>
        <w:rPr>
          <w:rFonts w:ascii="宋体" w:hAnsi="宋体" w:eastAsia="宋体" w:cs="宋体"/>
          <w:b/>
          <w:bCs/>
          <w:sz w:val="18"/>
          <w:szCs w:val="18"/>
        </w:rPr>
        <w:t>（1） 证券投资情况</w:t>
      </w:r>
      <w:bookmarkEnd w:id="42"/>
    </w:p>
    <w:p>
      <w:pPr>
        <w:spacing w:before="100" w:after="100" w:line="240" w:lineRule="exact"/>
        <w:rPr>
          <w:rFonts w:ascii="宋体" w:hAnsi="宋体" w:eastAsia="宋体" w:cs="宋体"/>
          <w:sz w:val="18"/>
          <w:szCs w:val="18"/>
        </w:rPr>
      </w:pPr>
      <w:r>
        <w:rPr>
          <w:rFonts w:ascii="宋体" w:hAnsi="宋体" w:eastAsia="宋体" w:cs="宋体"/>
          <w:sz w:val="18"/>
          <w:szCs w:val="18"/>
        </w:rPr>
        <w:t>□适用</w:t>
      </w:r>
      <w:r>
        <w:rPr>
          <w:szCs w:val="24"/>
        </w:rPr>
        <w:t xml:space="preserve">√ </w:t>
      </w:r>
      <w:r>
        <w:rPr>
          <w:rFonts w:ascii="宋体" w:hAnsi="宋体" w:eastAsia="宋体" w:cs="宋体"/>
          <w:sz w:val="18"/>
          <w:szCs w:val="18"/>
        </w:rPr>
        <w:t>不适用</w:t>
      </w:r>
    </w:p>
    <w:p>
      <w:pPr>
        <w:spacing w:before="40" w:after="40" w:line="240" w:lineRule="exact"/>
        <w:rPr>
          <w:rFonts w:ascii="宋体" w:hAnsi="宋体" w:eastAsia="宋体" w:cs="宋体"/>
          <w:sz w:val="18"/>
          <w:szCs w:val="18"/>
        </w:rPr>
      </w:pPr>
      <w:r>
        <w:rPr>
          <w:rFonts w:ascii="宋体" w:hAnsi="宋体" w:eastAsia="宋体" w:cs="宋体"/>
          <w:sz w:val="18"/>
          <w:szCs w:val="18"/>
        </w:rPr>
        <w:t>公司报告期不存在证券投资。</w:t>
      </w:r>
    </w:p>
    <w:p>
      <w:pPr>
        <w:keepNext/>
        <w:keepLines/>
        <w:spacing w:before="300" w:after="300" w:line="280" w:lineRule="exact"/>
        <w:outlineLvl w:val="3"/>
        <w:rPr>
          <w:rFonts w:ascii="宋体" w:hAnsi="宋体" w:eastAsia="宋体" w:cs="宋体"/>
          <w:b/>
          <w:bCs/>
          <w:sz w:val="18"/>
          <w:szCs w:val="18"/>
        </w:rPr>
      </w:pPr>
      <w:bookmarkStart w:id="43" w:name="_Toc988930"/>
      <w:r>
        <w:rPr>
          <w:rFonts w:ascii="宋体" w:hAnsi="宋体" w:eastAsia="宋体" w:cs="宋体"/>
          <w:b/>
          <w:bCs/>
          <w:sz w:val="18"/>
          <w:szCs w:val="18"/>
        </w:rPr>
        <w:t>（2） 衍生品投资情况</w:t>
      </w:r>
      <w:bookmarkEnd w:id="43"/>
    </w:p>
    <w:p>
      <w:pPr>
        <w:spacing w:before="100" w:after="100" w:line="240" w:lineRule="exact"/>
        <w:rPr>
          <w:rFonts w:ascii="宋体" w:hAnsi="宋体" w:eastAsia="宋体" w:cs="宋体"/>
          <w:sz w:val="18"/>
          <w:szCs w:val="18"/>
        </w:rPr>
      </w:pPr>
      <w:r>
        <w:rPr>
          <w:rFonts w:ascii="宋体" w:hAnsi="宋体" w:eastAsia="宋体" w:cs="宋体"/>
          <w:sz w:val="18"/>
          <w:szCs w:val="18"/>
        </w:rPr>
        <w:t>□适用</w:t>
      </w:r>
      <w:r>
        <w:rPr>
          <w:rFonts w:hint="eastAsia" w:ascii="宋体" w:hAnsi="宋体" w:eastAsia="宋体" w:cs="宋体"/>
          <w:sz w:val="18"/>
          <w:szCs w:val="18"/>
        </w:rPr>
        <w:t xml:space="preserve"> </w:t>
      </w:r>
      <w:r>
        <w:rPr>
          <w:szCs w:val="24"/>
        </w:rPr>
        <w:t xml:space="preserve">√ </w:t>
      </w:r>
      <w:r>
        <w:rPr>
          <w:rFonts w:ascii="宋体" w:hAnsi="宋体" w:eastAsia="宋体" w:cs="宋体"/>
          <w:sz w:val="18"/>
          <w:szCs w:val="18"/>
        </w:rPr>
        <w:t>不适用</w:t>
      </w:r>
    </w:p>
    <w:p>
      <w:pPr>
        <w:spacing w:before="40" w:after="40" w:line="240" w:lineRule="exact"/>
        <w:rPr>
          <w:rFonts w:ascii="宋体" w:hAnsi="宋体" w:eastAsia="宋体" w:cs="宋体"/>
          <w:sz w:val="18"/>
          <w:szCs w:val="18"/>
        </w:rPr>
      </w:pPr>
      <w:r>
        <w:rPr>
          <w:rFonts w:ascii="宋体" w:hAnsi="宋体" w:eastAsia="宋体" w:cs="宋体"/>
          <w:sz w:val="18"/>
          <w:szCs w:val="18"/>
        </w:rPr>
        <w:t>公司报告期不存在衍生品投资。</w:t>
      </w:r>
    </w:p>
    <w:p>
      <w:pPr>
        <w:pStyle w:val="4"/>
        <w:spacing w:line="280" w:lineRule="exact"/>
        <w:jc w:val="left"/>
        <w:rPr>
          <w:rFonts w:ascii="宋体" w:hAnsi="宋体" w:cs="宋体"/>
          <w:b/>
          <w:bCs/>
        </w:rPr>
      </w:pPr>
      <w:bookmarkStart w:id="44" w:name="_Toc988931"/>
      <w:r>
        <w:rPr>
          <w:rFonts w:ascii="宋体" w:hAnsi="宋体" w:cs="宋体"/>
          <w:b/>
          <w:bCs/>
        </w:rPr>
        <w:t>5、募集资金使用情况</w:t>
      </w:r>
      <w:bookmarkEnd w:id="44"/>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spacing w:before="40" w:after="40" w:line="240" w:lineRule="exact"/>
        <w:rPr>
          <w:rFonts w:ascii="宋体" w:hAnsi="宋体" w:eastAsia="宋体" w:cs="宋体"/>
          <w:sz w:val="18"/>
          <w:szCs w:val="18"/>
        </w:rPr>
      </w:pPr>
      <w:r>
        <w:rPr>
          <w:rFonts w:ascii="宋体" w:hAnsi="宋体" w:eastAsia="宋体" w:cs="宋体"/>
          <w:sz w:val="18"/>
          <w:szCs w:val="18"/>
        </w:rPr>
        <w:t>公司报告期无募集资金使用情况。</w:t>
      </w:r>
    </w:p>
    <w:p>
      <w:pPr>
        <w:pStyle w:val="3"/>
        <w:spacing w:before="300" w:after="300" w:line="320" w:lineRule="exact"/>
        <w:rPr>
          <w:rFonts w:ascii="宋体" w:hAnsi="宋体" w:eastAsia="宋体" w:cs="宋体"/>
          <w:b/>
          <w:bCs/>
          <w:sz w:val="24"/>
          <w:szCs w:val="24"/>
        </w:rPr>
      </w:pPr>
      <w:bookmarkStart w:id="45" w:name="_Toc988932"/>
      <w:r>
        <w:rPr>
          <w:rFonts w:ascii="宋体" w:hAnsi="宋体" w:eastAsia="宋体" w:cs="宋体"/>
          <w:b/>
          <w:bCs/>
          <w:sz w:val="24"/>
          <w:szCs w:val="24"/>
        </w:rPr>
        <w:t>八、重大资产和股权出售</w:t>
      </w:r>
      <w:bookmarkEnd w:id="45"/>
    </w:p>
    <w:p>
      <w:pPr>
        <w:pStyle w:val="4"/>
        <w:spacing w:line="280" w:lineRule="exact"/>
        <w:jc w:val="left"/>
        <w:rPr>
          <w:rFonts w:ascii="宋体" w:hAnsi="宋体" w:cs="宋体"/>
          <w:b/>
          <w:bCs/>
        </w:rPr>
      </w:pPr>
      <w:bookmarkStart w:id="46" w:name="_Toc988933"/>
      <w:r>
        <w:rPr>
          <w:rFonts w:ascii="宋体" w:hAnsi="宋体" w:cs="宋体"/>
          <w:b/>
          <w:bCs/>
        </w:rPr>
        <w:t>1、出售重大资产情况</w:t>
      </w:r>
      <w:bookmarkEnd w:id="46"/>
    </w:p>
    <w:p>
      <w:pPr>
        <w:spacing w:before="40" w:after="4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42"/>
        <w:gridCol w:w="642"/>
        <w:gridCol w:w="642"/>
        <w:gridCol w:w="642"/>
        <w:gridCol w:w="642"/>
        <w:gridCol w:w="642"/>
        <w:gridCol w:w="643"/>
        <w:gridCol w:w="643"/>
        <w:gridCol w:w="643"/>
        <w:gridCol w:w="643"/>
        <w:gridCol w:w="643"/>
        <w:gridCol w:w="564"/>
        <w:gridCol w:w="780"/>
        <w:gridCol w:w="585"/>
        <w:gridCol w:w="64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85" w:hRule="atLeast"/>
        </w:trPr>
        <w:tc>
          <w:tcPr>
            <w:tcW w:w="64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交易对方</w:t>
            </w:r>
          </w:p>
        </w:tc>
        <w:tc>
          <w:tcPr>
            <w:tcW w:w="64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被出售资产</w:t>
            </w:r>
          </w:p>
        </w:tc>
        <w:tc>
          <w:tcPr>
            <w:tcW w:w="64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出售日</w:t>
            </w:r>
          </w:p>
        </w:tc>
        <w:tc>
          <w:tcPr>
            <w:tcW w:w="64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交易价格（万元）</w:t>
            </w:r>
          </w:p>
        </w:tc>
        <w:tc>
          <w:tcPr>
            <w:tcW w:w="64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本期初起至出售日该资产为上市公司贡献的净利润（万元）</w:t>
            </w:r>
          </w:p>
        </w:tc>
        <w:tc>
          <w:tcPr>
            <w:tcW w:w="64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出售对公司的影响（注3）</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资产出售为上市公司贡献的净利润占净利润总额的比例</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资产出售定价原则</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是否为关联交易</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与交易对方的关联关系（适用关联交易情形）</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所涉及的资产产权是否已全部过户</w:t>
            </w:r>
          </w:p>
        </w:tc>
        <w:tc>
          <w:tcPr>
            <w:tcW w:w="56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所涉及的债权债务是否已全部转移</w:t>
            </w:r>
          </w:p>
        </w:tc>
        <w:tc>
          <w:tcPr>
            <w:tcW w:w="78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是否按计划如期实施，如未按计划实施，应当说明原因及公司已采取的措施</w:t>
            </w:r>
          </w:p>
        </w:tc>
        <w:tc>
          <w:tcPr>
            <w:tcW w:w="5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披露日期</w:t>
            </w:r>
          </w:p>
        </w:tc>
        <w:tc>
          <w:tcPr>
            <w:tcW w:w="6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披露索引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4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江西博升铜业有限公司</w:t>
            </w:r>
          </w:p>
        </w:tc>
        <w:tc>
          <w:tcPr>
            <w:tcW w:w="64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厂房及土地使用权</w:t>
            </w:r>
          </w:p>
        </w:tc>
        <w:tc>
          <w:tcPr>
            <w:tcW w:w="64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2022年06月29日</w:t>
            </w:r>
          </w:p>
        </w:tc>
        <w:tc>
          <w:tcPr>
            <w:tcW w:w="6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r>
              <w:rPr>
                <w:rFonts w:hint="eastAsia" w:ascii="宋体" w:hAnsi="宋体" w:eastAsia="宋体" w:cs="宋体"/>
                <w:sz w:val="18"/>
                <w:szCs w:val="18"/>
                <w:lang w:val="en-US" w:eastAsia="zh-CN"/>
              </w:rPr>
              <w:t>,</w:t>
            </w:r>
            <w:r>
              <w:rPr>
                <w:rFonts w:ascii="宋体" w:hAnsi="宋体" w:eastAsia="宋体" w:cs="宋体"/>
                <w:sz w:val="18"/>
                <w:szCs w:val="18"/>
              </w:rPr>
              <w:t>990</w:t>
            </w:r>
            <w:r>
              <w:rPr>
                <w:rFonts w:hint="eastAsia" w:ascii="宋体" w:hAnsi="宋体" w:eastAsia="宋体" w:cs="宋体"/>
                <w:sz w:val="18"/>
                <w:szCs w:val="18"/>
                <w:lang w:val="en-US" w:eastAsia="zh-CN"/>
              </w:rPr>
              <w:t>.</w:t>
            </w:r>
            <w:r>
              <w:rPr>
                <w:rFonts w:ascii="宋体" w:hAnsi="宋体" w:eastAsia="宋体" w:cs="宋体"/>
                <w:sz w:val="18"/>
                <w:szCs w:val="18"/>
              </w:rPr>
              <w:t>58</w:t>
            </w:r>
          </w:p>
        </w:tc>
        <w:tc>
          <w:tcPr>
            <w:tcW w:w="6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514</w:t>
            </w:r>
            <w:r>
              <w:rPr>
                <w:rFonts w:hint="eastAsia" w:ascii="宋体" w:hAnsi="宋体" w:eastAsia="宋体" w:cs="宋体"/>
                <w:sz w:val="18"/>
                <w:szCs w:val="18"/>
                <w:lang w:val="en-US" w:eastAsia="zh-CN"/>
              </w:rPr>
              <w:t>.</w:t>
            </w:r>
            <w:r>
              <w:rPr>
                <w:rFonts w:ascii="宋体" w:hAnsi="宋体" w:eastAsia="宋体" w:cs="宋体"/>
                <w:sz w:val="18"/>
                <w:szCs w:val="18"/>
              </w:rPr>
              <w:t>5</w:t>
            </w:r>
            <w:r>
              <w:rPr>
                <w:rFonts w:hint="eastAsia" w:ascii="宋体" w:hAnsi="宋体" w:eastAsia="宋体" w:cs="宋体"/>
                <w:sz w:val="18"/>
                <w:szCs w:val="18"/>
                <w:lang w:val="en-US" w:eastAsia="zh-CN"/>
              </w:rPr>
              <w:t>3</w:t>
            </w:r>
          </w:p>
        </w:tc>
        <w:tc>
          <w:tcPr>
            <w:tcW w:w="64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该出售资产为公司对外出租的投资性房地产，出售事项对公司业务连续性、管理层稳定性不产</w:t>
            </w:r>
            <w:r>
              <w:rPr>
                <w:rFonts w:hint="eastAsia" w:ascii="宋体" w:hAnsi="宋体" w:eastAsia="宋体" w:cs="宋体"/>
                <w:sz w:val="18"/>
                <w:szCs w:val="18"/>
              </w:rPr>
              <w:t>生</w:t>
            </w:r>
            <w:r>
              <w:rPr>
                <w:rFonts w:ascii="宋体" w:hAnsi="宋体" w:eastAsia="宋体" w:cs="宋体"/>
                <w:sz w:val="18"/>
                <w:szCs w:val="18"/>
              </w:rPr>
              <w:t>不利影响</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2.20%</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市场定价</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c>
          <w:tcPr>
            <w:tcW w:w="56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c>
          <w:tcPr>
            <w:tcW w:w="58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2022年08月27日</w:t>
            </w:r>
          </w:p>
        </w:tc>
        <w:tc>
          <w:tcPr>
            <w:tcW w:w="6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http://www.cninfo.com.cn2022-049</w:t>
            </w:r>
          </w:p>
        </w:tc>
      </w:tr>
    </w:tbl>
    <w:p>
      <w:pPr>
        <w:pStyle w:val="4"/>
        <w:spacing w:line="280" w:lineRule="exact"/>
        <w:jc w:val="left"/>
        <w:rPr>
          <w:rFonts w:ascii="宋体" w:hAnsi="宋体" w:cs="宋体"/>
          <w:b/>
          <w:bCs/>
        </w:rPr>
      </w:pPr>
      <w:bookmarkStart w:id="47" w:name="_Toc988934"/>
      <w:r>
        <w:rPr>
          <w:rFonts w:ascii="宋体" w:hAnsi="宋体" w:cs="宋体"/>
          <w:b/>
          <w:bCs/>
        </w:rPr>
        <w:t>2、出售重大股权情况</w:t>
      </w:r>
      <w:bookmarkEnd w:id="47"/>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48" w:name="_Toc988935"/>
      <w:r>
        <w:rPr>
          <w:rFonts w:ascii="宋体" w:hAnsi="宋体" w:eastAsia="宋体" w:cs="宋体"/>
          <w:b/>
          <w:bCs/>
          <w:sz w:val="24"/>
          <w:szCs w:val="24"/>
        </w:rPr>
        <w:t>九、主要控股参股公司分析</w:t>
      </w:r>
      <w:bookmarkEnd w:id="48"/>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spacing w:before="100" w:after="100" w:line="240" w:lineRule="exact"/>
        <w:rPr>
          <w:rFonts w:ascii="宋体" w:hAnsi="宋体" w:eastAsia="宋体" w:cs="宋体"/>
          <w:sz w:val="18"/>
          <w:szCs w:val="18"/>
        </w:rPr>
      </w:pPr>
      <w:r>
        <w:rPr>
          <w:rFonts w:ascii="宋体" w:hAnsi="宋体" w:eastAsia="宋体" w:cs="宋体"/>
          <w:sz w:val="18"/>
          <w:szCs w:val="18"/>
        </w:rPr>
        <w:t>主要子公司及对公司净利润影响达10%以上的参股公司情况</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71"/>
        <w:gridCol w:w="1071"/>
        <w:gridCol w:w="1071"/>
        <w:gridCol w:w="1071"/>
        <w:gridCol w:w="1071"/>
        <w:gridCol w:w="1071"/>
        <w:gridCol w:w="1071"/>
        <w:gridCol w:w="1071"/>
        <w:gridCol w:w="107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公司名称</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公司类型</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主要业务</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注册资本</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总资产</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净资产</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营业利润</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净利润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 鹰潭市三川实业发展有限公司</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参股公司</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工程建设、房地产</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50,000,000.00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1,859,225,132.77</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497,352,799.38</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1,003,775,348.90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264,129,904.04</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194,290,929.97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 鹰潭市供水集团有限公司</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参股公司</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城市供水</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66,008,800.00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266,302,331.87</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158,228,675.46</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383,867,813.83</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77,529,846.97</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62,712,663.51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 赣州天和永磁材料有限公司</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子公司</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稀土资源回收利用</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91,000,000.00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386,315,091.31</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109,831,885.74</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319,368,045.16</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27,005,385.62</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25,593,287.62</w:t>
            </w:r>
          </w:p>
        </w:tc>
      </w:tr>
    </w:tbl>
    <w:p>
      <w:pPr>
        <w:spacing w:before="40" w:after="40" w:line="240" w:lineRule="exact"/>
        <w:rPr>
          <w:rFonts w:ascii="宋体" w:hAnsi="宋体" w:eastAsia="宋体" w:cs="宋体"/>
          <w:sz w:val="18"/>
          <w:szCs w:val="18"/>
        </w:rPr>
      </w:pPr>
    </w:p>
    <w:p>
      <w:pPr>
        <w:spacing w:before="40" w:after="40" w:line="240" w:lineRule="exact"/>
        <w:rPr>
          <w:rFonts w:ascii="宋体" w:hAnsi="宋体" w:eastAsia="宋体" w:cs="宋体"/>
          <w:sz w:val="18"/>
          <w:szCs w:val="18"/>
        </w:rPr>
      </w:pPr>
    </w:p>
    <w:p>
      <w:pPr>
        <w:spacing w:before="40" w:after="40" w:line="240" w:lineRule="exact"/>
      </w:pPr>
      <w:r>
        <w:rPr>
          <w:rFonts w:ascii="宋体" w:hAnsi="宋体" w:eastAsia="宋体" w:cs="宋体"/>
          <w:sz w:val="18"/>
          <w:szCs w:val="18"/>
        </w:rPr>
        <w:t>报告期内取得和处置子公司的情况</w:t>
      </w:r>
    </w:p>
    <w:p>
      <w:pPr>
        <w:spacing w:before="40" w:after="4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1607"/>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公司名称</w:t>
            </w:r>
          </w:p>
        </w:tc>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报告期内取得和处置子公司方式</w:t>
            </w:r>
          </w:p>
        </w:tc>
        <w:tc>
          <w:tcPr>
            <w:tcW w:w="481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对整体生产经营和业绩的影响</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收购</w:t>
            </w:r>
          </w:p>
        </w:tc>
        <w:tc>
          <w:tcPr>
            <w:tcW w:w="481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将发展潜力较大的稀土资源回收利用业务注入公司业务体系，优化了公司的产业布局，对公司整体生产经营和业绩有较大影响。2022年合并日至年末天和永磁实现净利润2,559.33万元，占总体净利润10.95%。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赣州川宇国际贸易有限公司</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新设</w:t>
            </w:r>
          </w:p>
        </w:tc>
        <w:tc>
          <w:tcPr>
            <w:tcW w:w="481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赣州川宇主营业务为国外稀土原矿的进口和贸易，有利于公司向稀土上游延伸，拓展稀土资源的获得渠道。2022年赣州川宇未实质开展经营业务，产生亏损33.93万元。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赣州三川稀土有限责任公司</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新设</w:t>
            </w:r>
          </w:p>
        </w:tc>
        <w:tc>
          <w:tcPr>
            <w:tcW w:w="481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三川稀土未实际经营，对整体生产经营和业绩不产生实质影响。</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上海三川爱水科技有限公司</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注销</w:t>
            </w:r>
          </w:p>
        </w:tc>
        <w:tc>
          <w:tcPr>
            <w:tcW w:w="481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报告期内三川爱水未继续经营，对整体生产经营和业绩不产生实质影响。</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江西三川水务有限公司</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注销</w:t>
            </w:r>
          </w:p>
        </w:tc>
        <w:tc>
          <w:tcPr>
            <w:tcW w:w="481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报告期内三川水务未实际经营，对整体生产经营和业绩不产生实质影响。</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主要控股参股公司情况说明</w:t>
      </w:r>
    </w:p>
    <w:p>
      <w:pPr>
        <w:pStyle w:val="3"/>
        <w:spacing w:before="300" w:after="300" w:line="320" w:lineRule="exact"/>
        <w:rPr>
          <w:rFonts w:ascii="宋体" w:hAnsi="宋体" w:eastAsia="宋体" w:cs="宋体"/>
          <w:b/>
          <w:bCs/>
          <w:sz w:val="24"/>
          <w:szCs w:val="24"/>
        </w:rPr>
      </w:pPr>
      <w:bookmarkStart w:id="49" w:name="_Toc988936"/>
      <w:r>
        <w:rPr>
          <w:rFonts w:ascii="宋体" w:hAnsi="宋体" w:eastAsia="宋体" w:cs="宋体"/>
          <w:b/>
          <w:bCs/>
          <w:sz w:val="24"/>
          <w:szCs w:val="24"/>
        </w:rPr>
        <w:t>十、公司控制的结构化主体情况</w:t>
      </w:r>
      <w:bookmarkEnd w:id="49"/>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bookmarkStart w:id="50" w:name="_Toc988937"/>
    </w:p>
    <w:p>
      <w:pPr>
        <w:pStyle w:val="6"/>
        <w:rPr>
          <w:rFonts w:ascii="宋体" w:hAnsi="宋体" w:eastAsia="宋体" w:cs="宋体"/>
          <w:sz w:val="18"/>
          <w:szCs w:val="18"/>
        </w:rPr>
      </w:pPr>
    </w:p>
    <w:p>
      <w:pPr>
        <w:pStyle w:val="6"/>
        <w:rPr>
          <w:rFonts w:ascii="宋体" w:hAnsi="宋体" w:eastAsia="宋体" w:cs="宋体"/>
          <w:sz w:val="18"/>
          <w:szCs w:val="18"/>
        </w:rPr>
      </w:pPr>
    </w:p>
    <w:p>
      <w:pPr>
        <w:pStyle w:val="3"/>
        <w:spacing w:before="300" w:after="300" w:line="320" w:lineRule="exact"/>
        <w:rPr>
          <w:rFonts w:ascii="宋体" w:hAnsi="宋体" w:eastAsia="宋体" w:cs="宋体"/>
          <w:b/>
          <w:bCs/>
          <w:sz w:val="24"/>
          <w:szCs w:val="24"/>
        </w:rPr>
      </w:pPr>
      <w:r>
        <w:rPr>
          <w:rFonts w:ascii="宋体" w:hAnsi="宋体" w:eastAsia="宋体" w:cs="宋体"/>
          <w:b/>
          <w:bCs/>
          <w:sz w:val="24"/>
          <w:szCs w:val="24"/>
        </w:rPr>
        <w:t>十一、公司未来发展的展望</w:t>
      </w:r>
      <w:bookmarkEnd w:id="50"/>
    </w:p>
    <w:p>
      <w:pPr>
        <w:spacing w:before="40" w:after="40"/>
        <w:ind w:firstLine="361"/>
        <w:jc w:val="both"/>
        <w:rPr>
          <w:rFonts w:ascii="宋体" w:hAnsi="宋体" w:eastAsia="宋体" w:cs="宋体"/>
          <w:sz w:val="18"/>
          <w:szCs w:val="18"/>
        </w:rPr>
      </w:pPr>
      <w:r>
        <w:rPr>
          <w:rFonts w:ascii="宋体" w:hAnsi="宋体" w:eastAsia="宋体"/>
          <w:b/>
          <w:sz w:val="18"/>
        </w:rPr>
        <w:t>1</w:t>
      </w:r>
      <w:r>
        <w:rPr>
          <w:rFonts w:hint="eastAsia" w:ascii="宋体" w:hAnsi="宋体" w:eastAsia="宋体"/>
          <w:b/>
          <w:sz w:val="18"/>
        </w:rPr>
        <w:t>、公司发展纲要</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报告期内，公司在总结发展经验与治理实践的基础上，结合对当下及今后一段时期发展趋势的总体判断，制定并确立了《三川智慧发展纲要》，全面阐述了三川智慧未来3～5年的发展战略、发展路径和发展目标，概而言之就是：实施双轮驱动总战略，推动高质量发展，实现以“三个共同”为核心内涵的百年三川。</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实施双轮驱动总战略，具体就是涉水板块转型升级，稀土板块并购扩张。涉水板块要以智慧计量为体，以智慧能源、优质供水为两翼，形成“一体两翼”的发展格局。智慧计量涵盖智能表具和软件系统，重点解决智能抄表、营业收费、管网控漏等问题，旨在提高抄表效率和水费回收率、降低产销差率。智慧能源包括光伏电站建设和节能泵站管理，通过在水厂沉淀池、净化池及其他闲置土地上建设光伏电站和对泵站泵房进行节能管理，降低水厂能耗和成本，减少碳排放，助力供水企业实现绿色低碳发展。优质供水主要指二次供水和分质供水，即依托三川科技的二次供水设备及其管理系统，借助“云智联”平台提供的可视化场景，协助水司实施小区二次供水及分质供水，实现优质供水、优质饮水、优质优价的供水目标，在提升用户幸福感的同时，实现多方受益。稀土板块要以稀土资源回收利用作为切入点，逐步了解稀土产业链的实际情况，顺应国家战略引入外矿资源，进而向冶炼分离、稀土材料应用延伸，逐步形成全产业链相互协同的竞争优势。   </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高质量发展，就是要把过去相对简单的对发展速度和规模的追求，向构建较强的抗风险及可持续发展能力转变。推动高质量发展的路径，就是必须做好“六个坚持”，即坚持守法经营，坚持稳中求进，坚持改革创新，坚持协作融合，坚持现金为王，坚持思想、队伍、业绩三位一体全面推进。</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坚持守法经营不仅是三川智慧的一贯践行，更应当成为新时期依法治国理念下的主动遵循。稳中求进，“稳”字当头，要严格防范、认真识别、主动化解风险；“进”是目的，要在稳的基础上积极作为、积极进取。</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坚持改革创新，要紧扣“双轮驱动”总战略，不断深化公司各类改革，包括组织架构、分配机制、绩效考核、流程优化，以改革促发展；要牢固树立“创新是第一驱动力”的理念，持续加大对技术创新、管理创新的投入和奖励，激发各类人员尤其是工程技术人员的创造性和主动性；要适度开展基础性、前沿性科学研究，保持在行业中的技术领先。</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坚持协作融合，要深刻认识当代社会的发展规律，树立“利他思想”和建立“开放系统”，努力实现内部协作、内外融合的良好局面。内部协作要强调目标一致，核心主题是“一体两翼”的推进；内外融合要充分利用外部资源，服务于公司的发展大局，内外融合的核心主题是面向智能工厂的供应体系建设。协作融合还应当加强本部与各分子公司的常态化联系，做到信息通畅，资源共享，合力共赢。</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现金为王是特定时期的特定要求，要高度重视现金的保有量，要加大对老旧应收账款的清收力度，对于各类低效、闲置资产要从速变现，对于一切非战略性的大额投入应暂停、暂缓、压缩。</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思想、队伍、业绩“三位一体”全面推进，是推动高质量发展的重要保证。要通过凝聚共识，构建三川特色的思想文化，以思想引导、引领行动；要着力加强队伍建设，优化人才选拔、培养、使用机制，重用年轻人、忠诚者和奋斗者；要树立正确的业绩观，紧紧围绕营销抓业绩。三位一体的最终目标，就是要汇集一大批思想统一的忠诚者、奋斗者，去持续实现更好的业绩。</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以“三个共同”为核心内涵的“百年三川”，是三川人基于共同奋斗而去实现和达到共同富裕、共同幸福的美好愿景和终极目标。共同奋斗是基础，是贯穿百年三川的主旋律。共同富裕是过程，要通过共同奋斗努力实现员工收入优于当地，人才收入优于同行，保障和提升员工的劳动性收入，增加忠诚者、奋斗者的资产性收入。共同幸福是目标，就要高度关心和切实保障员工的安全与健康，持续推动智能化替代，降低劳动强度和安全风险；要多方面加强培训教育，促进员工能力和素养提升；要丰富员工精神文化生活，增强员工的归属感；要充分利用信息化时代的工具和平台，坚持开展文化宣导工作，向内外部展现三川正面形象和良好风貌，增强员工的荣誉感，最终形成“劳动最光荣、奋斗最幸福”的价值观和幸福观。</w:t>
      </w:r>
    </w:p>
    <w:p>
      <w:pPr>
        <w:pStyle w:val="6"/>
      </w:pPr>
    </w:p>
    <w:p>
      <w:pPr>
        <w:pStyle w:val="6"/>
      </w:pPr>
    </w:p>
    <w:p>
      <w:pPr>
        <w:spacing w:before="40" w:after="40"/>
        <w:ind w:firstLine="360" w:firstLineChars="200"/>
        <w:rPr>
          <w:rFonts w:ascii="宋体" w:hAnsi="宋体" w:eastAsia="宋体"/>
          <w:b/>
          <w:sz w:val="18"/>
        </w:rPr>
      </w:pPr>
      <w:r>
        <w:rPr>
          <w:rFonts w:hint="eastAsia" w:ascii="宋体" w:hAnsi="宋体" w:eastAsia="宋体"/>
          <w:b/>
          <w:sz w:val="18"/>
        </w:rPr>
        <w:t>2、2023年度经营计划</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2023年，公司将围绕发展纲要和实际情况，重点开展以下工作：</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一是将客户满意度作为公司第一质量指标，进一步强调“以客户为中心”的服务理念，重点关注产品交付、投诉处理、服务效率；同时把软件产品的功能、性能、用户体验和稀土产品收率纳入考核指标，丰富和完善公司产品质量的管控范围和质量要求。</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二是持续推动智能工厂建设，确保在年内顺利投产。同时，要以衔接智能工厂建设配套为目标，加快供应链本地体系建设，为智能工厂顺利投产提供有力保障。</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三是加强“一体两翼”重点项目推进，力争年内完成不少于3个包含合同能源管理、光伏电站与优质供水项目落地。</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四是按照把握节奏、精准适度的原则，加快稀土板块架构重建及稳妥扩张。</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五是切实实践购买服务、合资合作、会议营销、驻地营销等营销模式的创新；紧扣清欠工作这个核心主题，确保应收账款及坏账计提等指标有较大改善；加强营销团队建设与协作融合，确保完成公司下达的业绩目标。</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六是持续推动以财务总控为目标的信息化建设，配合完成智能工厂ERP系统对接，完成天和永磁ERP建设及OA系统上线运行；在智能工厂顺利运行后，完成订单全周期信息化建设。</w:t>
      </w:r>
    </w:p>
    <w:p>
      <w:pPr>
        <w:spacing w:before="40" w:after="40"/>
        <w:ind w:firstLine="360" w:firstLineChars="200"/>
        <w:rPr>
          <w:rStyle w:val="16"/>
          <w:sz w:val="18"/>
          <w:szCs w:val="18"/>
        </w:rPr>
      </w:pPr>
      <w:r>
        <w:rPr>
          <w:rFonts w:hint="eastAsia" w:ascii="宋体" w:hAnsi="宋体" w:eastAsia="宋体" w:cs="宋体"/>
          <w:sz w:val="18"/>
          <w:szCs w:val="18"/>
        </w:rPr>
        <w:t>七是各级各部门领导干部要把人才培养作为“一号工程”、“一把手工程”，重点抓、抓重点，贯彻工作始终，切实落实多用年轻人、忠诚者和奋斗者的用人理念，为公司的长远发展储备人才、提供人力资源保障。</w:t>
      </w:r>
    </w:p>
    <w:p>
      <w:pPr>
        <w:spacing w:before="40" w:after="40"/>
        <w:ind w:firstLine="360" w:firstLineChars="200"/>
        <w:rPr>
          <w:rFonts w:ascii="宋体" w:hAnsi="宋体" w:eastAsia="宋体"/>
          <w:b/>
          <w:sz w:val="18"/>
        </w:rPr>
      </w:pPr>
    </w:p>
    <w:p>
      <w:pPr>
        <w:spacing w:before="40" w:after="40"/>
        <w:ind w:firstLine="360" w:firstLineChars="200"/>
        <w:rPr>
          <w:rFonts w:ascii="宋体" w:hAnsi="宋体" w:eastAsia="宋体"/>
          <w:b/>
          <w:sz w:val="18"/>
        </w:rPr>
      </w:pPr>
      <w:r>
        <w:rPr>
          <w:rFonts w:hint="eastAsia" w:ascii="宋体" w:hAnsi="宋体" w:eastAsia="宋体"/>
          <w:b/>
          <w:sz w:val="18"/>
        </w:rPr>
        <w:t>3、公司可能面对的风险及对策</w:t>
      </w:r>
    </w:p>
    <w:p>
      <w:pPr>
        <w:pStyle w:val="11"/>
        <w:spacing w:before="40" w:beforeAutospacing="0" w:after="40" w:afterAutospacing="0"/>
        <w:ind w:firstLine="360" w:firstLineChars="200"/>
      </w:pPr>
      <w:r>
        <w:rPr>
          <w:rStyle w:val="16"/>
          <w:rFonts w:hint="eastAsia"/>
          <w:sz w:val="18"/>
          <w:szCs w:val="18"/>
        </w:rPr>
        <w:t>（一）房地产行业周期性波动的风险</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水表销售收入是公司营业收入的重要来源，房地产行业的景气程度的下降将会对公司的水表销售构成一定的影响。</w:t>
      </w:r>
      <w:r>
        <w:rPr>
          <w:rFonts w:ascii="宋体" w:hAnsi="宋体" w:eastAsia="宋体" w:cs="宋体"/>
          <w:sz w:val="18"/>
          <w:szCs w:val="18"/>
        </w:rPr>
        <w:t>2021</w:t>
      </w:r>
      <w:r>
        <w:rPr>
          <w:rFonts w:hint="eastAsia" w:ascii="宋体" w:hAnsi="宋体" w:eastAsia="宋体" w:cs="宋体"/>
          <w:sz w:val="18"/>
          <w:szCs w:val="18"/>
        </w:rPr>
        <w:t>年下半年国内大型房地产开发商陆续出现债务违约现象，</w:t>
      </w:r>
      <w:r>
        <w:rPr>
          <w:rFonts w:ascii="宋体" w:hAnsi="宋体" w:eastAsia="宋体" w:cs="宋体"/>
          <w:sz w:val="18"/>
          <w:szCs w:val="18"/>
        </w:rPr>
        <w:t>2022</w:t>
      </w:r>
      <w:r>
        <w:rPr>
          <w:rFonts w:hint="eastAsia" w:ascii="宋体" w:hAnsi="宋体" w:eastAsia="宋体" w:cs="宋体"/>
          <w:sz w:val="18"/>
          <w:szCs w:val="18"/>
        </w:rPr>
        <w:t>年全国商品房销售额同比下滑</w:t>
      </w:r>
      <w:r>
        <w:rPr>
          <w:rFonts w:ascii="宋体" w:hAnsi="宋体" w:eastAsia="宋体" w:cs="宋体"/>
          <w:sz w:val="18"/>
          <w:szCs w:val="18"/>
        </w:rPr>
        <w:t>26.7%</w:t>
      </w:r>
      <w:r>
        <w:rPr>
          <w:rFonts w:hint="eastAsia" w:ascii="宋体" w:hAnsi="宋体" w:eastAsia="宋体" w:cs="宋体"/>
          <w:sz w:val="18"/>
          <w:szCs w:val="18"/>
        </w:rPr>
        <w:t>，销售面积下滑</w:t>
      </w:r>
      <w:r>
        <w:rPr>
          <w:rFonts w:ascii="宋体" w:hAnsi="宋体" w:eastAsia="宋体" w:cs="宋体"/>
          <w:sz w:val="18"/>
          <w:szCs w:val="18"/>
        </w:rPr>
        <w:t>24.3%</w:t>
      </w:r>
      <w:r>
        <w:rPr>
          <w:rFonts w:hint="eastAsia" w:ascii="宋体" w:hAnsi="宋体" w:eastAsia="宋体" w:cs="宋体"/>
          <w:sz w:val="18"/>
          <w:szCs w:val="18"/>
        </w:rPr>
        <w:t>，国有土地使用权出让收入下滑</w:t>
      </w:r>
      <w:r>
        <w:rPr>
          <w:rFonts w:ascii="宋体" w:hAnsi="宋体" w:eastAsia="宋体" w:cs="宋体"/>
          <w:sz w:val="18"/>
          <w:szCs w:val="18"/>
        </w:rPr>
        <w:t>23.3%</w:t>
      </w:r>
      <w:r>
        <w:rPr>
          <w:rFonts w:hint="eastAsia" w:ascii="宋体" w:hAnsi="宋体" w:eastAsia="宋体" w:cs="宋体"/>
          <w:sz w:val="18"/>
          <w:szCs w:val="18"/>
        </w:rPr>
        <w:t>。但随着国家对于合理自住、改善需求提供更大的政策支持，房企融资“三支箭”的实施，“金融</w:t>
      </w:r>
      <w:r>
        <w:rPr>
          <w:rFonts w:ascii="宋体" w:hAnsi="宋体" w:eastAsia="宋体" w:cs="宋体"/>
          <w:sz w:val="18"/>
          <w:szCs w:val="18"/>
        </w:rPr>
        <w:t>16</w:t>
      </w:r>
      <w:r>
        <w:rPr>
          <w:rFonts w:hint="eastAsia" w:ascii="宋体" w:hAnsi="宋体" w:eastAsia="宋体" w:cs="宋体"/>
          <w:sz w:val="18"/>
          <w:szCs w:val="18"/>
        </w:rPr>
        <w:t>条”的发布，落实首付比例降低、限购政策放松、贷款基准利率下降等措施，预计房地产市场未来能企稳回升，保持健康发展的态势。若房地产行业延续之前的下滑趋势，可能导致公司经营业绩的波动或下滑。</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应对措施：为应对房地产行业周期性波动带来的影响，公司将紧紧抓住工业互联网、移动物联网产业发展的契机，积极开展</w:t>
      </w:r>
      <w:r>
        <w:rPr>
          <w:rFonts w:ascii="宋体" w:hAnsi="宋体" w:eastAsia="宋体" w:cs="宋体"/>
          <w:sz w:val="18"/>
          <w:szCs w:val="18"/>
        </w:rPr>
        <w:t> NB</w:t>
      </w:r>
      <w:r>
        <w:rPr>
          <w:rFonts w:hint="eastAsia" w:ascii="宋体" w:hAnsi="宋体" w:eastAsia="宋体" w:cs="宋体"/>
          <w:sz w:val="18"/>
          <w:szCs w:val="18"/>
        </w:rPr>
        <w:t>-</w:t>
      </w:r>
      <w:r>
        <w:rPr>
          <w:rFonts w:ascii="宋体" w:hAnsi="宋体" w:eastAsia="宋体" w:cs="宋体"/>
          <w:sz w:val="18"/>
          <w:szCs w:val="18"/>
        </w:rPr>
        <w:t xml:space="preserve">IoT </w:t>
      </w:r>
      <w:r>
        <w:rPr>
          <w:rFonts w:hint="eastAsia" w:ascii="宋体" w:hAnsi="宋体" w:eastAsia="宋体" w:cs="宋体"/>
          <w:sz w:val="18"/>
          <w:szCs w:val="18"/>
        </w:rPr>
        <w:t>智能水表的推广应用，以大中城市为重点扩大智能水表特别是物联网水表的销售，实现公司产品结构转型和服务升级，提高销售收入和经营效益。另外，为适应市场形势和客户需求，加大以集抄、</w:t>
      </w:r>
      <w:r>
        <w:rPr>
          <w:rFonts w:ascii="宋体" w:hAnsi="宋体" w:eastAsia="宋体" w:cs="宋体"/>
          <w:sz w:val="18"/>
          <w:szCs w:val="18"/>
        </w:rPr>
        <w:t>GIS</w:t>
      </w:r>
      <w:r>
        <w:rPr>
          <w:rFonts w:hint="eastAsia" w:ascii="宋体" w:hAnsi="宋体" w:eastAsia="宋体" w:cs="宋体"/>
          <w:sz w:val="18"/>
          <w:szCs w:val="18"/>
        </w:rPr>
        <w:t>、</w:t>
      </w:r>
      <w:r>
        <w:rPr>
          <w:rFonts w:ascii="宋体" w:hAnsi="宋体" w:eastAsia="宋体" w:cs="宋体"/>
          <w:sz w:val="18"/>
          <w:szCs w:val="18"/>
        </w:rPr>
        <w:t>MIS</w:t>
      </w:r>
      <w:r>
        <w:rPr>
          <w:rFonts w:hint="eastAsia" w:ascii="宋体" w:hAnsi="宋体" w:eastAsia="宋体" w:cs="宋体"/>
          <w:sz w:val="18"/>
          <w:szCs w:val="18"/>
        </w:rPr>
        <w:t>、</w:t>
      </w:r>
      <w:r>
        <w:rPr>
          <w:rFonts w:ascii="宋体" w:hAnsi="宋体" w:eastAsia="宋体" w:cs="宋体"/>
          <w:sz w:val="18"/>
          <w:szCs w:val="18"/>
        </w:rPr>
        <w:t xml:space="preserve">DMA </w:t>
      </w:r>
      <w:r>
        <w:rPr>
          <w:rFonts w:hint="eastAsia" w:ascii="宋体" w:hAnsi="宋体" w:eastAsia="宋体" w:cs="宋体"/>
          <w:sz w:val="18"/>
          <w:szCs w:val="18"/>
        </w:rPr>
        <w:t>为核心的智慧水务管理系统的推广应用，并据此积极探求新的盈利模式和利润增长点，确保公司战略目标的顺利实现。此外在对客户信用政策的管理方面，对于房地产企业采用先款后货的形式也有助于公司规避房地产行业下滑给公司带来的应收账款信用风险。</w:t>
      </w:r>
    </w:p>
    <w:p>
      <w:pPr>
        <w:pStyle w:val="11"/>
        <w:spacing w:before="40" w:beforeAutospacing="0" w:after="40" w:afterAutospacing="0"/>
        <w:ind w:firstLine="360" w:firstLineChars="200"/>
        <w:rPr>
          <w:rStyle w:val="16"/>
          <w:rFonts w:cs="Times New Roman"/>
          <w:sz w:val="18"/>
          <w:szCs w:val="18"/>
        </w:rPr>
      </w:pPr>
    </w:p>
    <w:p>
      <w:pPr>
        <w:pStyle w:val="11"/>
        <w:spacing w:before="40" w:beforeAutospacing="0" w:after="40" w:afterAutospacing="0"/>
        <w:ind w:firstLine="360" w:firstLineChars="200"/>
      </w:pPr>
      <w:r>
        <w:rPr>
          <w:rStyle w:val="16"/>
          <w:rFonts w:hint="eastAsia"/>
          <w:sz w:val="18"/>
          <w:szCs w:val="18"/>
        </w:rPr>
        <w:t>（二）技术创新或产品更新的风险</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随着人们对水资源稀缺性认识的逐步提高，以及智慧城市理念和实践的不断发展，以自动控制技术、信息网络技术为支撑、信息化管理需求为依托的智能水表已成为行业发展趋势。由于智能水表有着较高的技术要求，技术发展和更新较快，新技术、新产品、新工艺不断涌现，因此对技术创新与产品更新的要求也越来越高。能否保持技术持续进步、不断满足客户的需求变化是决定公司竞争力的重要因素。虽然目前公司在技术创新能力方面已具备一定的竞争优势，但随着技术的不断迭代升级，不排除出现技术方案替代的可能。如果竞争对手推出更先进、更具竞争力的技术和产品，将对本公司产生不利影响。</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应对措施：公司自成立以来，坚持以技术创新为本，在技术创新方面坚持双管齐下的方针，一方面立足自主开发与创新，制定了技术研发战略计划，建立了《技术创新与开发激励制度》，加大了对技术创新与开发的投入与激励力度，鼓励技术人员攻坚克难，不断超越，勇攀高峰；另一方面采取与国内外知名公司、高等院校合作开发、委托开发的方式，持续进行产品的技术创新与产品更新，以期引领智能水表的信息化、系统化、集成化的发展变革，充分满足客户需求。报告期内，公司获得</w:t>
      </w:r>
      <w:r>
        <w:rPr>
          <w:rFonts w:ascii="宋体" w:hAnsi="宋体" w:eastAsia="宋体" w:cs="宋体"/>
          <w:sz w:val="18"/>
          <w:szCs w:val="18"/>
        </w:rPr>
        <w:t>2021</w:t>
      </w:r>
      <w:r>
        <w:rPr>
          <w:rFonts w:hint="eastAsia" w:ascii="宋体" w:hAnsi="宋体" w:eastAsia="宋体" w:cs="宋体"/>
          <w:sz w:val="18"/>
          <w:szCs w:val="18"/>
        </w:rPr>
        <w:t>年度江西省科学技术进步一等奖，这与公司近年来加大研发投入、重视人才引进密不可分。</w:t>
      </w:r>
    </w:p>
    <w:p>
      <w:pPr>
        <w:pStyle w:val="11"/>
        <w:spacing w:before="40" w:beforeAutospacing="0" w:after="40" w:afterAutospacing="0"/>
        <w:ind w:firstLine="360" w:firstLineChars="200"/>
        <w:rPr>
          <w:rStyle w:val="16"/>
          <w:rFonts w:cs="Times New Roman"/>
          <w:sz w:val="18"/>
          <w:szCs w:val="18"/>
        </w:rPr>
      </w:pPr>
    </w:p>
    <w:p>
      <w:pPr>
        <w:pStyle w:val="11"/>
        <w:spacing w:before="40" w:beforeAutospacing="0" w:after="40" w:afterAutospacing="0"/>
        <w:ind w:firstLine="360" w:firstLineChars="200"/>
      </w:pPr>
      <w:r>
        <w:rPr>
          <w:rStyle w:val="16"/>
          <w:rFonts w:hint="eastAsia"/>
          <w:sz w:val="18"/>
          <w:szCs w:val="18"/>
        </w:rPr>
        <w:t>（三）新产品、新领域所面临的市场开拓风险</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本着依托主业、创新发展的思路，公司提出了涉水板块转型升级、稀土板块并购扩张的“双轮驱动”战略。涉水板块要以智慧计量为体，以智慧能源、优质供水为两翼，形成“一体两翼”的发展格局；稀土板块要以稀土资源回收利用作为切入点，逐步了解稀土产业链的实际情况，顺应国家战略引入外矿资源，进而向冶炼分离、稀土材料应用延伸，逐步形成全产业链相互协同的竞争优势。面对新的发展模式、发展思路以及瞬息变化的复杂行业环境及市场环境，如果公司的经营管理、行业整合、相关技术研发和推广跟不上行业的发展或者不能及时针对新兴应用领域做好市场开拓，公司将面临新产品、新领域的市场开拓、行业整合、经营管理等风险。</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应对措施：公司自确立战略发展目标以来，已经展开了多种业务模式的探索与实践，积累了丰富的经验与教训。同时公司紧盯行业发展方向与市场，充分调查了解客户需求，积极开展技术研发与储备，采取自主开发、技术合作、资产并购等多种方式努力降低新产品、新领域的市场开拓风险。对于并购项目，公司一方面进行深入了解、审慎决策，另一方面进行全面整合、加强管控，规避经营与业绩风险。</w:t>
      </w:r>
    </w:p>
    <w:p>
      <w:pPr>
        <w:pStyle w:val="11"/>
        <w:spacing w:before="40" w:beforeAutospacing="0" w:after="40" w:afterAutospacing="0"/>
        <w:ind w:firstLine="360" w:firstLineChars="200"/>
        <w:rPr>
          <w:rStyle w:val="16"/>
          <w:rFonts w:cs="Times New Roman"/>
          <w:sz w:val="18"/>
          <w:szCs w:val="18"/>
        </w:rPr>
      </w:pPr>
    </w:p>
    <w:p>
      <w:pPr>
        <w:pStyle w:val="11"/>
        <w:spacing w:before="40" w:beforeAutospacing="0" w:after="40" w:afterAutospacing="0"/>
        <w:ind w:firstLine="360" w:firstLineChars="200"/>
      </w:pPr>
      <w:r>
        <w:rPr>
          <w:rStyle w:val="16"/>
          <w:rFonts w:hint="eastAsia"/>
          <w:sz w:val="18"/>
          <w:szCs w:val="18"/>
        </w:rPr>
        <w:t>（四）商誉减值风险</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报告期内公司投资</w:t>
      </w:r>
      <w:r>
        <w:rPr>
          <w:rFonts w:ascii="宋体" w:hAnsi="宋体" w:eastAsia="宋体" w:cs="宋体"/>
          <w:sz w:val="18"/>
          <w:szCs w:val="18"/>
        </w:rPr>
        <w:t>21,439.57万元获取得赣州天和永磁材料有限公司67%的股权，形成16,730.93万元的商誉。虽然在产业整合过程中，公司已对交易标的未来业绩发展、盈利预测进行了合理预计测，同时也签订了对赌协议。但如果标的公司受行业发展、经营管理、市场竞争加剧等多种因素的影响，业绩未能达到预期目标，公司将会产生巨大商誉减值的风险。</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应对措施：公司将紧密关注标的企业在发展过程中遇到的风险，通过业务协同、人员融合、财务管控等方式，降低商誉减值风险。同时在后续投资并购中，不断总结经验教训，通过加强外调内查、选择经验丰富的中介机构、加强团队学习培训以及聘请行业专家等多种方式对项目进行审慎判断。</w:t>
      </w:r>
    </w:p>
    <w:p>
      <w:pPr>
        <w:pStyle w:val="11"/>
        <w:spacing w:before="40" w:beforeAutospacing="0" w:after="40" w:afterAutospacing="0"/>
        <w:ind w:firstLine="360" w:firstLineChars="200"/>
        <w:rPr>
          <w:rStyle w:val="16"/>
          <w:rFonts w:cs="Times New Roman"/>
          <w:sz w:val="18"/>
          <w:szCs w:val="18"/>
        </w:rPr>
      </w:pPr>
    </w:p>
    <w:p>
      <w:pPr>
        <w:pStyle w:val="11"/>
        <w:spacing w:before="40" w:beforeAutospacing="0" w:after="40" w:afterAutospacing="0"/>
        <w:ind w:firstLine="360" w:firstLineChars="200"/>
      </w:pPr>
      <w:r>
        <w:rPr>
          <w:rStyle w:val="16"/>
          <w:rFonts w:hint="eastAsia"/>
          <w:sz w:val="18"/>
          <w:szCs w:val="18"/>
        </w:rPr>
        <w:t>（五）应收账款回收风险</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截至本报告期末，公司应收账款净额为59,121.92万元，占流动资产和总资产的比例分别为31.43%，19.68</w:t>
      </w:r>
      <w:r>
        <w:rPr>
          <w:rFonts w:ascii="宋体" w:hAnsi="宋体" w:eastAsia="宋体" w:cs="宋体"/>
          <w:sz w:val="18"/>
          <w:szCs w:val="18"/>
        </w:rPr>
        <w:t>%</w:t>
      </w:r>
      <w:r>
        <w:rPr>
          <w:rFonts w:hint="eastAsia" w:ascii="宋体" w:hAnsi="宋体" w:eastAsia="宋体" w:cs="宋体"/>
          <w:sz w:val="18"/>
          <w:szCs w:val="18"/>
        </w:rPr>
        <w:t>。应收账款金额较高将影响公司的资金周转和经营活动的现金流量，给公司的营运资金带来一定的压力，且账龄长的应收账款存在不能全部收回的风险。</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应对措施：公司现已建立客户信用评级体系，通过加大与客户对账频率、实施业务人员应收账款终身负责制、提取风险金、建立健全销售回款考核与激励机制等方式全面加强应收账款的管理，努力控制应收账款的规模，保证应收账款的如期回收。同时公司加强应收账款的定期监督和客户信用额度的管理，对于超期未回款的客户及时沟通，必要时采用诉讼等法律手段及时收回欠款。</w:t>
      </w:r>
    </w:p>
    <w:p>
      <w:pPr>
        <w:pStyle w:val="11"/>
        <w:spacing w:before="40" w:beforeAutospacing="0" w:after="40" w:afterAutospacing="0"/>
        <w:ind w:firstLine="360" w:firstLineChars="200"/>
        <w:rPr>
          <w:rStyle w:val="16"/>
          <w:rFonts w:cs="Times New Roman"/>
          <w:sz w:val="18"/>
          <w:szCs w:val="18"/>
        </w:rPr>
      </w:pPr>
    </w:p>
    <w:p>
      <w:pPr>
        <w:pStyle w:val="11"/>
        <w:spacing w:before="40" w:beforeAutospacing="0" w:after="40" w:afterAutospacing="0"/>
        <w:ind w:firstLine="360" w:firstLineChars="200"/>
      </w:pPr>
      <w:r>
        <w:rPr>
          <w:rStyle w:val="16"/>
          <w:rFonts w:hint="eastAsia"/>
          <w:sz w:val="18"/>
          <w:szCs w:val="18"/>
        </w:rPr>
        <w:t>（六）汇率波动风险</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公司凭借产品质量和性能方面的优势，已成为国内重要的水表出口商，公司自主研发的多感知超声波水表已销往澳大利亚。由于公司对外销售主要以外币结算</w:t>
      </w:r>
      <w:r>
        <w:rPr>
          <w:rFonts w:ascii="宋体" w:hAnsi="宋体" w:eastAsia="宋体" w:cs="宋体"/>
          <w:sz w:val="18"/>
          <w:szCs w:val="18"/>
        </w:rPr>
        <w:t>,</w:t>
      </w:r>
      <w:r>
        <w:rPr>
          <w:rFonts w:hint="eastAsia" w:ascii="宋体" w:hAnsi="宋体" w:eastAsia="宋体" w:cs="宋体"/>
          <w:sz w:val="18"/>
          <w:szCs w:val="18"/>
        </w:rPr>
        <w:t>其中以美元为主要结算货币，因此人民币兑美元汇率波动对公司损益存在一定影响。主要体现为自签订境外销售订单至该订单款项收汇之日，期间美元汇率贬值导致营业收入及净利润的减少，如果不能采取有效措施规避美元贬值风险，公司可能面临盈利能力受汇率波动影响的风险。</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应对措施：公司在与国外客户签订合同时力求缩短回款周期，部分客户采用预付货款的形式，并加强对外应收账款的清收。</w:t>
      </w:r>
      <w:r>
        <w:rPr>
          <w:rFonts w:ascii="宋体" w:hAnsi="宋体" w:eastAsia="宋体" w:cs="宋体"/>
          <w:sz w:val="18"/>
          <w:szCs w:val="18"/>
        </w:rPr>
        <w:t>2022</w:t>
      </w:r>
      <w:r>
        <w:rPr>
          <w:rFonts w:hint="eastAsia" w:ascii="宋体" w:hAnsi="宋体" w:eastAsia="宋体" w:cs="宋体"/>
          <w:sz w:val="18"/>
          <w:szCs w:val="18"/>
        </w:rPr>
        <w:t>年公司出口业务收入占比为11.26</w:t>
      </w:r>
      <w:r>
        <w:rPr>
          <w:rFonts w:ascii="宋体" w:hAnsi="宋体" w:eastAsia="宋体" w:cs="宋体"/>
          <w:sz w:val="18"/>
          <w:szCs w:val="18"/>
        </w:rPr>
        <w:t>%</w:t>
      </w:r>
      <w:r>
        <w:rPr>
          <w:rFonts w:hint="eastAsia" w:ascii="宋体" w:hAnsi="宋体" w:eastAsia="宋体" w:cs="宋体"/>
          <w:sz w:val="18"/>
          <w:szCs w:val="18"/>
        </w:rPr>
        <w:t>，若海外业务收入持续增长，公司将考虑采用一定的金融手段规避汇率波动的风险。</w:t>
      </w:r>
      <w:bookmarkStart w:id="51" w:name="_Toc988938"/>
    </w:p>
    <w:p>
      <w:pPr>
        <w:pStyle w:val="6"/>
        <w:ind w:firstLine="360" w:firstLineChars="200"/>
        <w:rPr>
          <w:rFonts w:ascii="宋体" w:hAnsi="宋体" w:eastAsia="宋体" w:cs="宋体"/>
          <w:sz w:val="18"/>
          <w:szCs w:val="18"/>
        </w:rPr>
      </w:pPr>
    </w:p>
    <w:p>
      <w:pPr>
        <w:pStyle w:val="6"/>
        <w:ind w:firstLine="360" w:firstLineChars="200"/>
        <w:rPr>
          <w:rFonts w:ascii="宋体" w:hAnsi="宋体" w:eastAsia="宋体" w:cs="宋体"/>
          <w:sz w:val="18"/>
          <w:szCs w:val="18"/>
        </w:rPr>
      </w:pPr>
    </w:p>
    <w:p>
      <w:pPr>
        <w:pStyle w:val="3"/>
        <w:spacing w:before="300" w:after="300" w:line="320" w:lineRule="exact"/>
        <w:rPr>
          <w:rFonts w:ascii="宋体" w:hAnsi="宋体" w:eastAsia="宋体" w:cs="宋体"/>
          <w:b/>
          <w:bCs/>
          <w:sz w:val="24"/>
          <w:szCs w:val="24"/>
        </w:rPr>
      </w:pPr>
      <w:r>
        <w:rPr>
          <w:rFonts w:ascii="宋体" w:hAnsi="宋体" w:eastAsia="宋体" w:cs="宋体"/>
          <w:b/>
          <w:bCs/>
          <w:sz w:val="24"/>
          <w:szCs w:val="24"/>
        </w:rPr>
        <w:t>十二、报告期内接待调研、沟通、采访等活动登记表</w:t>
      </w:r>
      <w:bookmarkEnd w:id="51"/>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接待时间</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接待地点</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接待方式</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接待对象类型</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接待对象</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谈论的主要内容及提供的资料</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调研的基本情况索引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2022年04月12日</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深交所互动易“云访谈”</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机构及个人投资者</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年度业绩说明会网上交流</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详见深交所互动易平台《投资者关系活动记录表》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2022年05月27日</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全景路演</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机构及个人投资者</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投资者集体接待日网上交流</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详见深交所互动易平台《投资者关系活动记录表》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2022年06月03日</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三川智慧</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电话沟通</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个人</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个人投资者</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合资公司赣州川益设立及稀土行业的相关情况</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2022年06月07日</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三川智慧</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电话沟通</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个人</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个人投资者</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吾爱易达芯片测试情况及上海储睿达储能项目开展情况</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2022年06月30日</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三川智慧</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电话沟通</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机构</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机构投资者</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公司主业情况、发展状态、收购天和永磁情况</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2022年09月02日</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深交所互动易“云访谈”</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机构及个人投资者</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半年度业绩说明会网上交流</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详见深交所互动易平台《投资者关系活动记录表》</w:t>
            </w:r>
          </w:p>
        </w:tc>
      </w:tr>
    </w:tbl>
    <w:p>
      <w:pPr>
        <w:jc w:val="center"/>
        <w:rPr>
          <w:rFonts w:ascii="宋体" w:hAnsi="宋体" w:eastAsia="宋体" w:cs="宋体"/>
          <w:b/>
          <w:bCs/>
          <w:sz w:val="32"/>
          <w:szCs w:val="32"/>
        </w:rPr>
      </w:pPr>
      <w:r>
        <w:br w:type="page"/>
      </w:r>
      <w:bookmarkStart w:id="52" w:name="_Toc988939"/>
      <w:r>
        <w:rPr>
          <w:rFonts w:ascii="宋体" w:hAnsi="宋体" w:eastAsia="宋体" w:cs="宋体"/>
          <w:b/>
          <w:bCs/>
          <w:sz w:val="32"/>
          <w:szCs w:val="32"/>
        </w:rPr>
        <w:t>第四节 公司治理</w:t>
      </w:r>
      <w:bookmarkEnd w:id="52"/>
    </w:p>
    <w:p>
      <w:pPr>
        <w:pStyle w:val="3"/>
        <w:spacing w:before="300" w:after="300" w:line="320" w:lineRule="exact"/>
        <w:rPr>
          <w:rFonts w:ascii="宋体" w:hAnsi="宋体" w:eastAsia="宋体" w:cs="宋体"/>
          <w:b/>
          <w:bCs/>
          <w:sz w:val="24"/>
          <w:szCs w:val="24"/>
        </w:rPr>
      </w:pPr>
      <w:bookmarkStart w:id="53" w:name="_Toc988940"/>
      <w:r>
        <w:rPr>
          <w:rFonts w:ascii="宋体" w:hAnsi="宋体" w:eastAsia="宋体" w:cs="宋体"/>
          <w:b/>
          <w:bCs/>
          <w:sz w:val="24"/>
          <w:szCs w:val="24"/>
        </w:rPr>
        <w:t>一、公司治理的基本状况</w:t>
      </w:r>
      <w:bookmarkEnd w:id="53"/>
    </w:p>
    <w:p>
      <w:pPr>
        <w:pStyle w:val="11"/>
        <w:spacing w:before="40" w:beforeAutospacing="0" w:after="40" w:afterAutospacing="0"/>
        <w:ind w:firstLine="360" w:firstLineChars="200"/>
      </w:pPr>
      <w:r>
        <w:rPr>
          <w:rFonts w:hint="eastAsia"/>
          <w:sz w:val="18"/>
          <w:szCs w:val="18"/>
        </w:rPr>
        <w:t>报告期内，公司严格按照《公司法》《证券法》《上市公司治理准则》《深圳证券交易所创业板股票上市规则》《深圳证券交易所上市公司自律监管指引第2号—创业板上市公司规范运作》等法律法规、部门规章、规范性文件要求，不断完善公司法人治理结构，建立健全公司内部管理和控制制度，持续深入开展公司治理活动，促进公司规范运作，不断加强信息披露工作，积极开展投资者关系管理工作，维护了上市公司及股东利益，确保了公司安全、稳定、健康、持续发展。</w:t>
      </w:r>
    </w:p>
    <w:p>
      <w:pPr>
        <w:pStyle w:val="11"/>
        <w:spacing w:before="40" w:beforeAutospacing="0" w:after="40" w:afterAutospacing="0"/>
        <w:ind w:firstLine="360" w:firstLineChars="200"/>
        <w:rPr>
          <w:sz w:val="18"/>
          <w:szCs w:val="18"/>
        </w:rPr>
      </w:pPr>
      <w:r>
        <w:rPr>
          <w:rFonts w:hint="eastAsia"/>
          <w:sz w:val="18"/>
          <w:szCs w:val="18"/>
        </w:rPr>
        <w:t>截至本报告期末，公司治理的实际情况符合《上市公司治理准则》《深圳证券交易所上市公司自律监管指引第2号—创业板上市公司规范运作》等相关法律、法规、规范性文件的要求，不存在尚未解决的公司治理问题。</w:t>
      </w:r>
    </w:p>
    <w:p>
      <w:pPr>
        <w:pStyle w:val="11"/>
        <w:spacing w:before="40" w:beforeAutospacing="0" w:after="40" w:afterAutospacing="0"/>
        <w:ind w:firstLine="360" w:firstLineChars="200"/>
        <w:rPr>
          <w:sz w:val="18"/>
          <w:szCs w:val="18"/>
        </w:rPr>
      </w:pPr>
      <w:r>
        <w:rPr>
          <w:sz w:val="18"/>
          <w:szCs w:val="18"/>
        </w:rPr>
        <w:t>2022</w:t>
      </w:r>
      <w:r>
        <w:rPr>
          <w:rFonts w:hint="eastAsia"/>
          <w:sz w:val="18"/>
          <w:szCs w:val="18"/>
        </w:rPr>
        <w:t>年度公司治理具体情况如下：</w:t>
      </w:r>
    </w:p>
    <w:p>
      <w:pPr>
        <w:pStyle w:val="11"/>
        <w:spacing w:before="40" w:beforeAutospacing="0" w:after="40" w:afterAutospacing="0"/>
        <w:ind w:firstLine="360"/>
      </w:pPr>
      <w:r>
        <w:rPr>
          <w:rStyle w:val="16"/>
          <w:rFonts w:hint="eastAsia"/>
          <w:sz w:val="18"/>
          <w:szCs w:val="18"/>
        </w:rPr>
        <w:t>（一）关于股东与股东大会</w:t>
      </w:r>
    </w:p>
    <w:p>
      <w:pPr>
        <w:pStyle w:val="11"/>
        <w:spacing w:before="40" w:beforeAutospacing="0" w:after="40" w:afterAutospacing="0"/>
        <w:ind w:firstLine="360" w:firstLineChars="200"/>
        <w:rPr>
          <w:sz w:val="18"/>
          <w:szCs w:val="18"/>
        </w:rPr>
      </w:pPr>
      <w:r>
        <w:rPr>
          <w:rFonts w:hint="eastAsia"/>
          <w:sz w:val="18"/>
          <w:szCs w:val="18"/>
        </w:rPr>
        <w:t>公司严格按照《公司法》《上市公司股东大会规则》、深圳证券交易所创业板的相关规定以及《公司章程》《股东大会议事规则》的要求，规范股东大会的召集、召开和表决程序。公司股东大会均由董事会召集，公司按规定时间发出股东大会会议通知，并设置现场投票和网络投票。现场股东大会由公司董事会秘书、监事、股东代表及见证律师共同查验参会股东及股东代理人的身份证明、持股凭证、授权委托书及表决票，保证出席公司股东大会的股东及股东代理人均具有合法有效的资格。在股东大会上能够保证各位股东有充分的发言权，确保全体股东特别是中小股东享有平等地位，充分行使股东的权力。公司至今未发生重大事项绕过股东大会的情况，也未发生重大事项先实施后审议的情况。公司不存在违反《上市公司股东大会规则》的其他情形。</w:t>
      </w:r>
    </w:p>
    <w:p>
      <w:pPr>
        <w:pStyle w:val="11"/>
        <w:spacing w:before="40" w:beforeAutospacing="0" w:after="40" w:afterAutospacing="0"/>
        <w:ind w:firstLine="360" w:firstLineChars="200"/>
        <w:rPr>
          <w:sz w:val="18"/>
          <w:szCs w:val="18"/>
        </w:rPr>
      </w:pPr>
      <w:r>
        <w:rPr>
          <w:rFonts w:hint="eastAsia"/>
          <w:sz w:val="18"/>
          <w:szCs w:val="18"/>
        </w:rPr>
        <w:t>报告期内，公司召开1次年度股东大会和2次临时股东大会。股东大会的召集、召开、提案和表决程序均符合相关 法律法规、规范性文件的规定，股东大会会议记录档案妥善保存。</w:t>
      </w:r>
    </w:p>
    <w:p>
      <w:pPr>
        <w:pStyle w:val="11"/>
        <w:spacing w:before="40" w:beforeAutospacing="0" w:after="40" w:afterAutospacing="0"/>
        <w:ind w:firstLine="360"/>
      </w:pPr>
      <w:r>
        <w:rPr>
          <w:rStyle w:val="16"/>
          <w:rFonts w:hint="eastAsia"/>
          <w:sz w:val="18"/>
          <w:szCs w:val="18"/>
        </w:rPr>
        <w:t>（二）关于董事和董事会</w:t>
      </w:r>
    </w:p>
    <w:p>
      <w:pPr>
        <w:pStyle w:val="11"/>
        <w:spacing w:before="40" w:beforeAutospacing="0" w:after="40" w:afterAutospacing="0"/>
        <w:ind w:firstLine="360" w:firstLineChars="200"/>
        <w:rPr>
          <w:sz w:val="18"/>
          <w:szCs w:val="18"/>
        </w:rPr>
      </w:pPr>
      <w:r>
        <w:rPr>
          <w:rFonts w:hint="eastAsia"/>
          <w:sz w:val="18"/>
          <w:szCs w:val="18"/>
        </w:rPr>
        <w:t>公司董事会设董事</w:t>
      </w:r>
      <w:r>
        <w:rPr>
          <w:sz w:val="18"/>
          <w:szCs w:val="18"/>
        </w:rPr>
        <w:t>9</w:t>
      </w:r>
      <w:r>
        <w:rPr>
          <w:rFonts w:hint="eastAsia"/>
          <w:sz w:val="18"/>
          <w:szCs w:val="18"/>
        </w:rPr>
        <w:t>名，其中独立董事</w:t>
      </w:r>
      <w:r>
        <w:rPr>
          <w:sz w:val="18"/>
          <w:szCs w:val="18"/>
        </w:rPr>
        <w:t>3</w:t>
      </w:r>
      <w:r>
        <w:rPr>
          <w:rFonts w:hint="eastAsia"/>
          <w:sz w:val="18"/>
          <w:szCs w:val="18"/>
        </w:rPr>
        <w:t>名，董事会的人数及人员构成符合法律、法规和《公司章程》的规定。董事会成员专业结构合理，能够有效、科学、迅速、谨慎的做出决策。公司董事能够依据《董事会议事规则》《独立董事工作制度》《深圳证券交易所上市公司自律监管指引第2号—创业板上市公司规范运作》等规定开展工作，出席董事会和股东大会，勤勉尽责地履行职责和义务，同时积极参加相关培训，熟悉并掌握相关法律法规。独立董事按照法律、法规和《公司章程》的规定不受影响的独立履行职责，出席公司董事会、股东大会，对公司重大投资、董事、高级管理人员的任免等事项发表自己的独立意见，保证了公司的规范运作。</w:t>
      </w:r>
    </w:p>
    <w:p>
      <w:pPr>
        <w:pStyle w:val="11"/>
        <w:spacing w:before="40" w:beforeAutospacing="0" w:after="40" w:afterAutospacing="0"/>
        <w:ind w:firstLine="360" w:firstLineChars="200"/>
        <w:rPr>
          <w:sz w:val="18"/>
          <w:szCs w:val="18"/>
        </w:rPr>
      </w:pPr>
      <w:r>
        <w:rPr>
          <w:rFonts w:hint="eastAsia"/>
          <w:sz w:val="18"/>
          <w:szCs w:val="18"/>
        </w:rPr>
        <w:t>公司董事会已根据《上市公司治理准则》设立了提名委员会、审计委员会、战略委员会和薪酬与考核委员会等四个专门委员会，各专门委员会根据各自职责为董事会的决策提供了科学和专业的意见和参考。</w:t>
      </w:r>
    </w:p>
    <w:p>
      <w:pPr>
        <w:pStyle w:val="11"/>
        <w:spacing w:before="40" w:beforeAutospacing="0" w:after="40" w:afterAutospacing="0"/>
        <w:ind w:firstLine="360"/>
      </w:pPr>
      <w:r>
        <w:rPr>
          <w:rStyle w:val="16"/>
          <w:rFonts w:hint="eastAsia"/>
          <w:sz w:val="18"/>
          <w:szCs w:val="18"/>
        </w:rPr>
        <w:t>（三）关于监事和监事会</w:t>
      </w:r>
    </w:p>
    <w:p>
      <w:pPr>
        <w:pStyle w:val="11"/>
        <w:spacing w:before="40" w:beforeAutospacing="0" w:after="40" w:afterAutospacing="0"/>
        <w:ind w:firstLine="360" w:firstLineChars="200"/>
        <w:rPr>
          <w:sz w:val="18"/>
          <w:szCs w:val="18"/>
        </w:rPr>
      </w:pPr>
      <w:r>
        <w:rPr>
          <w:rFonts w:hint="eastAsia"/>
          <w:sz w:val="18"/>
          <w:szCs w:val="18"/>
        </w:rPr>
        <w:t>公司监事会设监事</w:t>
      </w:r>
      <w:r>
        <w:rPr>
          <w:sz w:val="18"/>
          <w:szCs w:val="18"/>
        </w:rPr>
        <w:t>3</w:t>
      </w:r>
      <w:r>
        <w:rPr>
          <w:rFonts w:hint="eastAsia"/>
          <w:sz w:val="18"/>
          <w:szCs w:val="18"/>
        </w:rPr>
        <w:t>名，其中职工代表监事</w:t>
      </w:r>
      <w:r>
        <w:rPr>
          <w:sz w:val="18"/>
          <w:szCs w:val="18"/>
        </w:rPr>
        <w:t>1</w:t>
      </w:r>
      <w:r>
        <w:rPr>
          <w:rFonts w:hint="eastAsia"/>
          <w:sz w:val="18"/>
          <w:szCs w:val="18"/>
        </w:rPr>
        <w:t>名，监事会的人数和构成符合法律、法规和《公司章程》的规定与要求。监事会会议的召集、召开程序，完全按照《监事会议事规则》的要求履行，并按照拟定的会议议程进行。在日常工作中，各位监事能够按照《公司章程》《监事会议事规则》等规定的要求，认真履行自己的职责，本着对公司和全体股东负责的精神，审核公司定期报告，对公司董事、高级管理人员的行为进行监督，对公司重大事项、重大财务决策事项进行监督。</w:t>
      </w:r>
    </w:p>
    <w:p>
      <w:pPr>
        <w:pStyle w:val="11"/>
        <w:spacing w:before="40" w:beforeAutospacing="0" w:after="40" w:afterAutospacing="0"/>
        <w:ind w:firstLine="360" w:firstLineChars="200"/>
      </w:pPr>
      <w:r>
        <w:rPr>
          <w:rStyle w:val="16"/>
          <w:rFonts w:hint="eastAsia"/>
          <w:sz w:val="18"/>
          <w:szCs w:val="18"/>
        </w:rPr>
        <w:t>（四）关于绩效评价与激励约束机制</w:t>
      </w:r>
    </w:p>
    <w:p>
      <w:pPr>
        <w:pStyle w:val="11"/>
        <w:spacing w:before="40" w:beforeAutospacing="0" w:after="40" w:afterAutospacing="0"/>
        <w:ind w:firstLine="360" w:firstLineChars="200"/>
        <w:rPr>
          <w:sz w:val="18"/>
          <w:szCs w:val="18"/>
        </w:rPr>
      </w:pPr>
      <w:r>
        <w:rPr>
          <w:rFonts w:hint="eastAsia"/>
          <w:sz w:val="18"/>
          <w:szCs w:val="18"/>
        </w:rPr>
        <w:t>公司董事会下设的薪酬和考核委员会负责对公司的董事、高管进行绩效考核，公司建立了目标责任考核体系、高级管理团队年度绩效考核评估制度，对高级管理人员采取年度绩效评估的办法，设定关键评估指标，既考核评估当年的绩效，又兼顾公司的长期发展要求，定期对高管团队的年度绩效进行评估，同时将年度经营目标与年度评估结果相挂钩。公司现有考核及激励约束机制符合公司的发展要求。</w:t>
      </w:r>
    </w:p>
    <w:p>
      <w:pPr>
        <w:pStyle w:val="11"/>
        <w:spacing w:before="40" w:beforeAutospacing="0" w:after="40" w:afterAutospacing="0"/>
        <w:ind w:firstLine="360" w:firstLineChars="200"/>
      </w:pPr>
      <w:r>
        <w:rPr>
          <w:rStyle w:val="16"/>
          <w:rFonts w:hint="eastAsia"/>
          <w:sz w:val="18"/>
          <w:szCs w:val="18"/>
        </w:rPr>
        <w:t>（五）关于信息披露与透明度</w:t>
      </w:r>
    </w:p>
    <w:p>
      <w:pPr>
        <w:pStyle w:val="11"/>
        <w:spacing w:before="40" w:beforeAutospacing="0" w:after="40" w:afterAutospacing="0"/>
        <w:ind w:firstLine="360" w:firstLineChars="200"/>
        <w:rPr>
          <w:sz w:val="18"/>
          <w:szCs w:val="18"/>
        </w:rPr>
      </w:pPr>
      <w:r>
        <w:rPr>
          <w:rFonts w:hint="eastAsia"/>
          <w:sz w:val="18"/>
          <w:szCs w:val="18"/>
        </w:rPr>
        <w:t>公司严格按照有关法律法规、《上市公司信息披露管理办法》以及公司《信息披露管理制度》《投资者关系管理制度》等规章制度的要求做好公司内幕信息的管理与披露工作，真实、准确、及时、公平、完整地履行信息披露义务。切实做好对未公开信息的传递、审核、披露流程，有效落实内幕信息事务及知情人报备流程，从而防范内幕信息知情人和非法获取内幕信息的人员利用内幕信息从事证券交易活动，坚决杜绝内幕交易行为，充分保障股东权益。</w:t>
      </w:r>
    </w:p>
    <w:p>
      <w:pPr>
        <w:pStyle w:val="11"/>
        <w:spacing w:before="40" w:beforeAutospacing="0" w:after="40" w:afterAutospacing="0"/>
        <w:ind w:firstLine="360" w:firstLineChars="200"/>
        <w:rPr>
          <w:sz w:val="18"/>
          <w:szCs w:val="18"/>
        </w:rPr>
      </w:pPr>
      <w:r>
        <w:rPr>
          <w:rFonts w:hint="eastAsia"/>
          <w:sz w:val="18"/>
          <w:szCs w:val="18"/>
        </w:rPr>
        <w:t>公司指定公司董事会秘书负责信息披露工作，协调公司与投资者的关系，接待投资者来访和咨询，向投资者提供公司已披露的资料；并指定《证券时报》《中国证券报》、巨潮资讯网为公司信息披露的指定报纸和网站，真实、准确、完整地披露信息，确保公司所有投资者均能够以平等的机会获取公司信息。</w:t>
      </w:r>
    </w:p>
    <w:p>
      <w:pPr>
        <w:pStyle w:val="11"/>
        <w:spacing w:before="40" w:beforeAutospacing="0" w:after="40" w:afterAutospacing="0"/>
        <w:ind w:firstLine="360" w:firstLineChars="200"/>
        <w:rPr>
          <w:sz w:val="18"/>
          <w:szCs w:val="18"/>
        </w:rPr>
      </w:pPr>
      <w:r>
        <w:rPr>
          <w:rFonts w:hint="eastAsia"/>
          <w:sz w:val="18"/>
          <w:szCs w:val="18"/>
        </w:rPr>
        <w:t>2022年公司在指定媒体共披露公告105份。</w:t>
      </w:r>
    </w:p>
    <w:p>
      <w:pPr>
        <w:pStyle w:val="11"/>
        <w:spacing w:before="40" w:beforeAutospacing="0" w:after="40" w:afterAutospacing="0"/>
        <w:ind w:firstLine="360" w:firstLineChars="200"/>
      </w:pPr>
      <w:r>
        <w:rPr>
          <w:rStyle w:val="16"/>
          <w:rFonts w:hint="eastAsia"/>
          <w:sz w:val="18"/>
          <w:szCs w:val="18"/>
        </w:rPr>
        <w:t>（六）关于相关利益者</w:t>
      </w:r>
    </w:p>
    <w:p>
      <w:pPr>
        <w:pStyle w:val="11"/>
        <w:spacing w:before="40" w:beforeAutospacing="0" w:after="40" w:afterAutospacing="0"/>
        <w:ind w:firstLine="360" w:firstLineChars="200"/>
        <w:rPr>
          <w:sz w:val="18"/>
          <w:szCs w:val="18"/>
        </w:rPr>
      </w:pPr>
      <w:r>
        <w:rPr>
          <w:rFonts w:hint="eastAsia"/>
          <w:sz w:val="18"/>
          <w:szCs w:val="18"/>
        </w:rPr>
        <w:t>公司充分尊重和维护相关利益方的合法权益，重视公司的社会责任，实现股东、政府、员工、社会等各方利益的协调平衡，共同推动公司持续、健康发展。公司坚持多元化的沟通机制，多渠道、多方式与利益相关方进行积极、广泛的沟通与交流，及时回应利益相关方的诉求，不断为各利益相关方创造综合价值。</w:t>
      </w:r>
    </w:p>
    <w:p>
      <w:pPr>
        <w:pStyle w:val="11"/>
        <w:spacing w:before="40" w:beforeAutospacing="0" w:after="40" w:afterAutospacing="0"/>
        <w:ind w:firstLine="360" w:firstLineChars="200"/>
      </w:pPr>
      <w:r>
        <w:rPr>
          <w:rStyle w:val="16"/>
          <w:rFonts w:hint="eastAsia"/>
          <w:sz w:val="18"/>
          <w:szCs w:val="18"/>
        </w:rPr>
        <w:t>（七）关于内部审计</w:t>
      </w:r>
    </w:p>
    <w:p>
      <w:pPr>
        <w:pStyle w:val="11"/>
        <w:spacing w:before="40" w:beforeAutospacing="0" w:after="40" w:afterAutospacing="0"/>
        <w:ind w:firstLine="360" w:firstLineChars="200"/>
        <w:rPr>
          <w:sz w:val="18"/>
          <w:szCs w:val="18"/>
        </w:rPr>
      </w:pPr>
      <w:r>
        <w:rPr>
          <w:rFonts w:hint="eastAsia"/>
          <w:sz w:val="18"/>
          <w:szCs w:val="18"/>
        </w:rPr>
        <w:t>为加强和保障内部审计的独立性和客观性，有效控制风险，公司制定了《董事会审计委员会工作细则》《内部控制制度》《内部审计制度》，由审计委员会负责全面审查和监督公司的财务报告、内部审计方案及内部控制的有效性，审阅和审查公司财务、经营、合规、风险管理等情况。公司设置审计部，负责内部审计工作，并建立了内部审计制度，对审计委员会负责，向审计委员会报告工作。审计部对公司财务信息及内部控制制度的建立和实施等进行检查和监督，对公司应收账款等事项进行重点审计，及时向审计委员会提交工作计划和审计工作报告，就审计过程中发现的问题进行督促整改。</w:t>
      </w:r>
    </w:p>
    <w:p>
      <w:pPr>
        <w:pStyle w:val="11"/>
        <w:spacing w:before="40" w:beforeAutospacing="0" w:after="40" w:afterAutospacing="0"/>
        <w:ind w:firstLine="360" w:firstLineChars="200"/>
      </w:pPr>
      <w:r>
        <w:rPr>
          <w:rStyle w:val="16"/>
          <w:rFonts w:hint="eastAsia"/>
          <w:sz w:val="18"/>
          <w:szCs w:val="18"/>
        </w:rPr>
        <w:t>（八）关于投资者关系管理</w:t>
      </w:r>
    </w:p>
    <w:p>
      <w:pPr>
        <w:pStyle w:val="11"/>
        <w:spacing w:before="40" w:beforeAutospacing="0" w:after="40" w:afterAutospacing="0"/>
        <w:ind w:firstLine="360" w:firstLineChars="200"/>
        <w:rPr>
          <w:sz w:val="18"/>
          <w:szCs w:val="18"/>
        </w:rPr>
      </w:pPr>
      <w:r>
        <w:rPr>
          <w:rFonts w:hint="eastAsia"/>
          <w:sz w:val="18"/>
          <w:szCs w:val="18"/>
        </w:rPr>
        <w:t>公司高度重视投资者关系管理工作，制定了《投资者关系管理制度》，明确规定了投资者关系管理的基本原则、目的及投资者关系管理的工作对象、内容和方式等，以保证与投资者建立良好的互动关系，树立公司在资本市场的规范形象。公司证券部作为投资者关系管理的具体实施机构，负责投资者来访接待工作，做好投资者关系管理工作档案的建立和保管，合理妥善地安排个人投资者、机构投资者、行业分析师等相关人员到公司进行调研，并切实做好信息的保密工作。</w:t>
      </w:r>
    </w:p>
    <w:p>
      <w:pPr>
        <w:pStyle w:val="11"/>
        <w:spacing w:before="40" w:beforeAutospacing="0" w:after="40" w:afterAutospacing="0"/>
        <w:ind w:firstLine="360" w:firstLineChars="200"/>
        <w:rPr>
          <w:sz w:val="18"/>
          <w:szCs w:val="18"/>
        </w:rPr>
      </w:pPr>
      <w:r>
        <w:rPr>
          <w:rFonts w:hint="eastAsia"/>
          <w:sz w:val="18"/>
          <w:szCs w:val="18"/>
        </w:rPr>
        <w:t>为加强投资者关系管理，公司借助各种手段，多渠道多方式开展投资者交流与沟通。通过电话、邮件、投资者关系互动平台、接待调研、媒体采访等方式，传递公司信息，并收集投资者对公司的意见和建议。2022年，公司举办了2021年度网上业绩说明会、2022年半年报网上业绩说明会以及江西辖区上市公司2022年投资者网上集体接待日活动，就公司财务、经营情况及发展计划等问题进行深入沟通交流；同时公司在深圳证券交易所“互动易”平台回答投资者问题150条，互动易回复率达100%，不存在错回漏回的情况。通过上述方式，公司与投资者建立直接、便捷、快速的沟通渠道，保证了与投资者的充分交流，保障了投资者的知情权、参与权及其他合法权益。</w:t>
      </w:r>
    </w:p>
    <w:p>
      <w:pPr>
        <w:spacing w:before="100" w:after="100" w:line="240" w:lineRule="exact"/>
        <w:rPr>
          <w:rFonts w:ascii="宋体" w:hAnsi="宋体" w:eastAsia="宋体" w:cs="宋体"/>
          <w:sz w:val="18"/>
          <w:szCs w:val="18"/>
        </w:rPr>
      </w:pPr>
      <w:r>
        <w:rPr>
          <w:rFonts w:ascii="宋体" w:hAnsi="宋体" w:eastAsia="宋体" w:cs="宋体"/>
          <w:sz w:val="18"/>
          <w:szCs w:val="18"/>
        </w:rPr>
        <w:t>公司治理的实际状况与法律、行政法规和中国证监会发布的关于上市公司治理的规定是否存在重大差异</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□是 </w:t>
      </w:r>
      <w:r>
        <w:rPr>
          <w:szCs w:val="24"/>
        </w:rPr>
        <w:t xml:space="preserve">√ </w:t>
      </w:r>
      <w:r>
        <w:rPr>
          <w:rFonts w:ascii="宋体" w:hAnsi="宋体" w:eastAsia="宋体" w:cs="宋体"/>
          <w:sz w:val="18"/>
          <w:szCs w:val="18"/>
        </w:rPr>
        <w:t>否</w:t>
      </w:r>
    </w:p>
    <w:p>
      <w:pPr>
        <w:pStyle w:val="11"/>
        <w:spacing w:before="40" w:beforeAutospacing="0" w:after="40" w:afterAutospacing="0"/>
        <w:rPr>
          <w:sz w:val="18"/>
          <w:szCs w:val="18"/>
        </w:rPr>
      </w:pPr>
      <w:r>
        <w:rPr>
          <w:sz w:val="18"/>
          <w:szCs w:val="18"/>
        </w:rPr>
        <w:t>公司治理的实际状况与法律、行政法规和中国证监会发布的关于上市公司治理的规定不存在重大差异。</w:t>
      </w:r>
    </w:p>
    <w:p>
      <w:pPr>
        <w:pStyle w:val="3"/>
        <w:spacing w:before="300" w:after="300" w:line="320" w:lineRule="exact"/>
        <w:rPr>
          <w:rFonts w:ascii="宋体" w:hAnsi="宋体" w:eastAsia="宋体" w:cs="宋体"/>
          <w:b/>
          <w:bCs/>
          <w:sz w:val="24"/>
          <w:szCs w:val="24"/>
        </w:rPr>
      </w:pPr>
      <w:bookmarkStart w:id="54" w:name="_Toc988941"/>
      <w:r>
        <w:rPr>
          <w:rFonts w:ascii="宋体" w:hAnsi="宋体" w:eastAsia="宋体" w:cs="宋体"/>
          <w:b/>
          <w:bCs/>
          <w:sz w:val="24"/>
          <w:szCs w:val="24"/>
        </w:rPr>
        <w:t>二、公司相对于控股股东、实际控制人在保证公司资产、人员、财务、机构、业务等方面的独立情况</w:t>
      </w:r>
      <w:bookmarkEnd w:id="54"/>
    </w:p>
    <w:p>
      <w:pPr>
        <w:pStyle w:val="11"/>
        <w:spacing w:before="40" w:beforeAutospacing="0" w:after="40" w:afterAutospacing="0"/>
        <w:ind w:firstLine="360" w:firstLineChars="200"/>
        <w:rPr>
          <w:sz w:val="18"/>
          <w:szCs w:val="18"/>
        </w:rPr>
      </w:pPr>
      <w:r>
        <w:rPr>
          <w:rFonts w:hint="eastAsia"/>
          <w:sz w:val="18"/>
          <w:szCs w:val="18"/>
        </w:rPr>
        <w:t>公司与控股股东在业务、人员、资产、机构、财务等方面完全分开，公司内部机构完善，具有独立、完整的业务及自主经营的能力。</w:t>
      </w:r>
    </w:p>
    <w:p>
      <w:pPr>
        <w:pStyle w:val="11"/>
        <w:spacing w:before="40" w:beforeAutospacing="0" w:after="40" w:afterAutospacing="0"/>
        <w:ind w:firstLine="360" w:firstLineChars="200"/>
        <w:rPr>
          <w:sz w:val="18"/>
          <w:szCs w:val="18"/>
        </w:rPr>
      </w:pPr>
      <w:r>
        <w:rPr>
          <w:sz w:val="18"/>
          <w:szCs w:val="18"/>
        </w:rPr>
        <w:t>1</w:t>
      </w:r>
      <w:r>
        <w:rPr>
          <w:rFonts w:hint="eastAsia"/>
          <w:sz w:val="18"/>
          <w:szCs w:val="18"/>
        </w:rPr>
        <w:t>、业务独立方面</w:t>
      </w:r>
    </w:p>
    <w:p>
      <w:pPr>
        <w:pStyle w:val="11"/>
        <w:spacing w:before="40" w:beforeAutospacing="0" w:after="40" w:afterAutospacing="0"/>
        <w:ind w:firstLine="360" w:firstLineChars="200"/>
        <w:rPr>
          <w:sz w:val="18"/>
          <w:szCs w:val="18"/>
        </w:rPr>
      </w:pPr>
      <w:r>
        <w:rPr>
          <w:rFonts w:hint="eastAsia"/>
          <w:sz w:val="18"/>
          <w:szCs w:val="18"/>
        </w:rPr>
        <w:t>公司拥有独立的研发、生产、采购和销售系统，业务上完全独立于控股股东，控股股东及其下属的其他单位与本公司不存在同业竞争。</w:t>
      </w:r>
    </w:p>
    <w:p>
      <w:pPr>
        <w:pStyle w:val="11"/>
        <w:spacing w:before="40" w:beforeAutospacing="0" w:after="40" w:afterAutospacing="0"/>
        <w:ind w:firstLine="360" w:firstLineChars="200"/>
        <w:rPr>
          <w:sz w:val="18"/>
          <w:szCs w:val="18"/>
        </w:rPr>
      </w:pPr>
      <w:r>
        <w:rPr>
          <w:sz w:val="18"/>
          <w:szCs w:val="18"/>
        </w:rPr>
        <w:t>2</w:t>
      </w:r>
      <w:r>
        <w:rPr>
          <w:rFonts w:hint="eastAsia"/>
          <w:sz w:val="18"/>
          <w:szCs w:val="18"/>
        </w:rPr>
        <w:t>、人员独立方面</w:t>
      </w:r>
    </w:p>
    <w:p>
      <w:pPr>
        <w:pStyle w:val="11"/>
        <w:spacing w:before="40" w:beforeAutospacing="0" w:after="40" w:afterAutospacing="0"/>
        <w:ind w:firstLine="360" w:firstLineChars="200"/>
        <w:rPr>
          <w:sz w:val="18"/>
          <w:szCs w:val="18"/>
        </w:rPr>
      </w:pPr>
      <w:r>
        <w:rPr>
          <w:rFonts w:hint="eastAsia"/>
          <w:sz w:val="18"/>
          <w:szCs w:val="18"/>
        </w:rPr>
        <w:t>公司拥有独立的员工队伍，设立了独立的研发、生产、行政、财务、经营管理等部门，并建立了完整的劳动、人事及工资管理制度，公司人员独立于控股股东；公司董事长由董事会选举产生；公司的总经理、副总经理、董事会秘书、财务负责人等高级管理人员均在公司专职工作并领取薪酬，未在控股股东单位领薪，也未在控股股东单位担任除董事、监事以外的任何职务。公司董事、监事及高级管理人员严格按照《公司法》《公司章程》的有关规定，通过合法程序产生，不存在控股股东干预公司董事会和股东大会人事任免决定的现象。</w:t>
      </w:r>
    </w:p>
    <w:p>
      <w:pPr>
        <w:pStyle w:val="11"/>
        <w:spacing w:before="40" w:beforeAutospacing="0" w:after="40" w:afterAutospacing="0"/>
        <w:ind w:firstLine="360" w:firstLineChars="200"/>
        <w:rPr>
          <w:sz w:val="18"/>
          <w:szCs w:val="18"/>
        </w:rPr>
      </w:pPr>
      <w:r>
        <w:rPr>
          <w:sz w:val="18"/>
          <w:szCs w:val="18"/>
        </w:rPr>
        <w:t>3</w:t>
      </w:r>
      <w:r>
        <w:rPr>
          <w:rFonts w:hint="eastAsia"/>
          <w:sz w:val="18"/>
          <w:szCs w:val="18"/>
        </w:rPr>
        <w:t>、资产完整方面</w:t>
      </w:r>
    </w:p>
    <w:p>
      <w:pPr>
        <w:pStyle w:val="11"/>
        <w:spacing w:before="40" w:beforeAutospacing="0" w:after="40" w:afterAutospacing="0"/>
        <w:ind w:firstLine="360" w:firstLineChars="200"/>
        <w:rPr>
          <w:sz w:val="18"/>
          <w:szCs w:val="18"/>
        </w:rPr>
      </w:pPr>
      <w:r>
        <w:rPr>
          <w:rFonts w:hint="eastAsia"/>
          <w:sz w:val="18"/>
          <w:szCs w:val="18"/>
        </w:rPr>
        <w:t>公司与控股股东之间产权关系明确，公司的资金、资产及其他资源不存在被其违规占用、支配的情况。公司的资产完整，拥有与生产经营范围相适应的生产设备、辅助生产设备及商标、专利等资产，公司对所有资产拥有完全的控制权与支配权。</w:t>
      </w:r>
    </w:p>
    <w:p>
      <w:pPr>
        <w:pStyle w:val="11"/>
        <w:spacing w:before="40" w:beforeAutospacing="0" w:after="40" w:afterAutospacing="0"/>
        <w:ind w:firstLine="360" w:firstLineChars="200"/>
        <w:rPr>
          <w:sz w:val="18"/>
          <w:szCs w:val="18"/>
        </w:rPr>
      </w:pPr>
      <w:r>
        <w:rPr>
          <w:sz w:val="18"/>
          <w:szCs w:val="18"/>
        </w:rPr>
        <w:t>4</w:t>
      </w:r>
      <w:r>
        <w:rPr>
          <w:rFonts w:hint="eastAsia"/>
          <w:sz w:val="18"/>
          <w:szCs w:val="18"/>
        </w:rPr>
        <w:t>、机构独立方面</w:t>
      </w:r>
    </w:p>
    <w:p>
      <w:pPr>
        <w:pStyle w:val="11"/>
        <w:spacing w:before="40" w:beforeAutospacing="0" w:after="40" w:afterAutospacing="0"/>
        <w:ind w:firstLine="360" w:firstLineChars="200"/>
        <w:rPr>
          <w:sz w:val="18"/>
          <w:szCs w:val="18"/>
        </w:rPr>
      </w:pPr>
      <w:r>
        <w:rPr>
          <w:rFonts w:hint="eastAsia"/>
          <w:sz w:val="18"/>
          <w:szCs w:val="18"/>
        </w:rPr>
        <w:t>公司董事会、监事会、经营层及其他内部机构独立运作，各职能部门在权责、人员等方面与控股股东之间完全分开，控股股东及其职能部门与公司及公司的职能部门之间没有上下级关系，不存在控股股东影响本公司生产经营管理独立性的现象。</w:t>
      </w:r>
    </w:p>
    <w:p>
      <w:pPr>
        <w:pStyle w:val="11"/>
        <w:spacing w:before="40" w:beforeAutospacing="0" w:after="40" w:afterAutospacing="0"/>
        <w:ind w:firstLine="360" w:firstLineChars="200"/>
        <w:rPr>
          <w:sz w:val="18"/>
          <w:szCs w:val="18"/>
        </w:rPr>
      </w:pPr>
      <w:r>
        <w:rPr>
          <w:sz w:val="18"/>
          <w:szCs w:val="18"/>
        </w:rPr>
        <w:t>5</w:t>
      </w:r>
      <w:r>
        <w:rPr>
          <w:rFonts w:hint="eastAsia"/>
          <w:sz w:val="18"/>
          <w:szCs w:val="18"/>
        </w:rPr>
        <w:t>、财务独立方面</w:t>
      </w:r>
    </w:p>
    <w:p>
      <w:pPr>
        <w:pStyle w:val="11"/>
        <w:spacing w:before="40" w:beforeAutospacing="0" w:after="40" w:afterAutospacing="0"/>
        <w:ind w:firstLine="360" w:firstLineChars="200"/>
        <w:rPr>
          <w:sz w:val="18"/>
          <w:szCs w:val="18"/>
        </w:rPr>
      </w:pPr>
      <w:r>
        <w:rPr>
          <w:rFonts w:hint="eastAsia"/>
          <w:sz w:val="18"/>
          <w:szCs w:val="18"/>
        </w:rPr>
        <w:t>公司设置了独立的财务部门，建立了健全独立的财务核算体系，能够独立做出财务决策，具有规范的财务会计制度和对分子公司的财务管理制度，不存在控股股东干预公司财务、会计活动的情况。公司在商业银行独立开户，不存在与控股股东共用银行账户的情况。公司依法独立进行纳税申报和履行纳税义务。</w:t>
      </w:r>
    </w:p>
    <w:p>
      <w:pPr>
        <w:pStyle w:val="3"/>
        <w:spacing w:before="300" w:after="300" w:line="320" w:lineRule="exact"/>
        <w:rPr>
          <w:rFonts w:ascii="宋体" w:hAnsi="宋体" w:eastAsia="宋体" w:cs="宋体"/>
          <w:b/>
          <w:bCs/>
          <w:sz w:val="24"/>
          <w:szCs w:val="24"/>
        </w:rPr>
      </w:pPr>
      <w:bookmarkStart w:id="55" w:name="_Toc988942"/>
      <w:r>
        <w:rPr>
          <w:rFonts w:ascii="宋体" w:hAnsi="宋体" w:eastAsia="宋体" w:cs="宋体"/>
          <w:b/>
          <w:bCs/>
          <w:sz w:val="24"/>
          <w:szCs w:val="24"/>
        </w:rPr>
        <w:t>三、同业竞争情况</w:t>
      </w:r>
      <w:bookmarkEnd w:id="55"/>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56" w:name="_Toc988943"/>
      <w:r>
        <w:rPr>
          <w:rFonts w:ascii="宋体" w:hAnsi="宋体" w:eastAsia="宋体" w:cs="宋体"/>
          <w:b/>
          <w:bCs/>
          <w:sz w:val="24"/>
          <w:szCs w:val="24"/>
        </w:rPr>
        <w:t>四、报告期内召开的年度股东大会和临时股东大会的有关情况</w:t>
      </w:r>
      <w:bookmarkEnd w:id="56"/>
    </w:p>
    <w:p>
      <w:pPr>
        <w:pStyle w:val="4"/>
        <w:spacing w:line="280" w:lineRule="exact"/>
        <w:jc w:val="left"/>
        <w:rPr>
          <w:rFonts w:ascii="宋体" w:hAnsi="宋体" w:cs="宋体"/>
          <w:b/>
          <w:bCs/>
        </w:rPr>
      </w:pPr>
      <w:bookmarkStart w:id="57" w:name="_Toc988944"/>
      <w:r>
        <w:rPr>
          <w:rFonts w:ascii="宋体" w:hAnsi="宋体" w:cs="宋体"/>
          <w:b/>
          <w:bCs/>
        </w:rPr>
        <w:t>1、本报告期股东大会情况</w:t>
      </w:r>
      <w:bookmarkEnd w:id="57"/>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371"/>
        <w:gridCol w:w="1134"/>
        <w:gridCol w:w="1134"/>
        <w:gridCol w:w="1276"/>
        <w:gridCol w:w="311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会议届次</w:t>
            </w:r>
          </w:p>
        </w:tc>
        <w:tc>
          <w:tcPr>
            <w:tcW w:w="13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会议类型</w:t>
            </w:r>
          </w:p>
        </w:tc>
        <w:tc>
          <w:tcPr>
            <w:tcW w:w="113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投资者参与比例</w:t>
            </w:r>
          </w:p>
        </w:tc>
        <w:tc>
          <w:tcPr>
            <w:tcW w:w="113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召开日期</w:t>
            </w:r>
          </w:p>
        </w:tc>
        <w:tc>
          <w:tcPr>
            <w:tcW w:w="12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披露日期</w:t>
            </w:r>
          </w:p>
        </w:tc>
        <w:tc>
          <w:tcPr>
            <w:tcW w:w="31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会议决议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850" w:hRule="atLeast"/>
        </w:trPr>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2021年年度股东大会</w:t>
            </w:r>
          </w:p>
        </w:tc>
        <w:tc>
          <w:tcPr>
            <w:tcW w:w="13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年度股东大会</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45.65%</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2022年04月19日</w:t>
            </w:r>
          </w:p>
        </w:tc>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2022年04月20日</w:t>
            </w:r>
          </w:p>
        </w:tc>
        <w:tc>
          <w:tcPr>
            <w:tcW w:w="31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议通过《2021年度董事会工作报告》《2021年度监事会工作报告》《2021年度财务决算报告》《2021年年度报告》及其摘要、《2021年度利润分配方案》《关于续聘会计师事务所的议案》《关于补选曹元坤先生为公司独立董事的议案》</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80" w:hRule="atLeast"/>
        </w:trPr>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2022年第一次临时股东大会</w:t>
            </w:r>
          </w:p>
        </w:tc>
        <w:tc>
          <w:tcPr>
            <w:tcW w:w="13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临时股东大会</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46.58%</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2022年07月15日</w:t>
            </w:r>
          </w:p>
        </w:tc>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2022年07月16日</w:t>
            </w:r>
          </w:p>
        </w:tc>
        <w:tc>
          <w:tcPr>
            <w:tcW w:w="31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审议通过《关于受让赣州天和永磁材料有限公司67%股权暨关联交易的议案》《关于补选左富强先生为公司非独立董事的议案》《关于修改〈公司章程〉的议案》</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50" w:hRule="atLeast"/>
        </w:trPr>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2022年第二次临时股东大会</w:t>
            </w:r>
          </w:p>
        </w:tc>
        <w:tc>
          <w:tcPr>
            <w:tcW w:w="13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临时股东大会</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40.31%</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2022年11月28日</w:t>
            </w:r>
          </w:p>
        </w:tc>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2022年11月29日</w:t>
            </w:r>
          </w:p>
        </w:tc>
        <w:tc>
          <w:tcPr>
            <w:tcW w:w="31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审议通过《关于为控股子公司天和永磁提供贷款担保的议案》</w:t>
            </w:r>
          </w:p>
        </w:tc>
      </w:tr>
    </w:tbl>
    <w:p>
      <w:pPr>
        <w:pStyle w:val="4"/>
        <w:spacing w:line="280" w:lineRule="exact"/>
        <w:jc w:val="left"/>
        <w:rPr>
          <w:rFonts w:ascii="宋体" w:hAnsi="宋体" w:cs="宋体"/>
          <w:b/>
          <w:bCs/>
        </w:rPr>
      </w:pPr>
      <w:bookmarkStart w:id="58" w:name="_Toc988945"/>
      <w:r>
        <w:rPr>
          <w:rFonts w:ascii="宋体" w:hAnsi="宋体" w:cs="宋体"/>
          <w:b/>
          <w:bCs/>
        </w:rPr>
        <w:t>2、表决权恢复的优先股股东请求召开临时股东大会</w:t>
      </w:r>
      <w:bookmarkEnd w:id="58"/>
    </w:p>
    <w:p>
      <w:pPr>
        <w:spacing w:before="100" w:after="100" w:line="240" w:lineRule="exact"/>
        <w:rPr>
          <w:rFonts w:ascii="宋体" w:hAnsi="宋体" w:eastAsia="宋体" w:cs="宋体"/>
          <w:sz w:val="18"/>
          <w:szCs w:val="18"/>
        </w:rPr>
      </w:pPr>
      <w:r>
        <w:rPr>
          <w:rFonts w:ascii="宋体" w:hAnsi="宋体" w:eastAsia="宋体" w:cs="宋体"/>
          <w:sz w:val="18"/>
          <w:szCs w:val="18"/>
        </w:rPr>
        <w:t>□适用</w:t>
      </w:r>
      <w:r>
        <w:rPr>
          <w:szCs w:val="24"/>
        </w:rPr>
        <w:t xml:space="preserve">√ </w:t>
      </w: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59" w:name="_Toc988946"/>
      <w:r>
        <w:rPr>
          <w:rFonts w:ascii="宋体" w:hAnsi="宋体" w:eastAsia="宋体" w:cs="宋体"/>
          <w:b/>
          <w:bCs/>
          <w:sz w:val="24"/>
          <w:szCs w:val="24"/>
        </w:rPr>
        <w:t>五、公司具有表决权差异安排</w:t>
      </w:r>
      <w:bookmarkEnd w:id="59"/>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60" w:name="_Toc988947"/>
      <w:r>
        <w:rPr>
          <w:rFonts w:ascii="宋体" w:hAnsi="宋体" w:eastAsia="宋体" w:cs="宋体"/>
          <w:b/>
          <w:bCs/>
          <w:sz w:val="24"/>
          <w:szCs w:val="24"/>
        </w:rPr>
        <w:t>六、红筹架构公司治理情况</w:t>
      </w:r>
      <w:bookmarkEnd w:id="60"/>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61" w:name="_Toc988948"/>
      <w:r>
        <w:rPr>
          <w:rFonts w:ascii="宋体" w:hAnsi="宋体" w:eastAsia="宋体" w:cs="宋体"/>
          <w:b/>
          <w:bCs/>
          <w:sz w:val="24"/>
          <w:szCs w:val="24"/>
        </w:rPr>
        <w:t>七、董事、监事和高级管理人员情况</w:t>
      </w:r>
      <w:bookmarkEnd w:id="61"/>
    </w:p>
    <w:p>
      <w:pPr>
        <w:pStyle w:val="4"/>
        <w:spacing w:line="280" w:lineRule="exact"/>
        <w:jc w:val="left"/>
        <w:rPr>
          <w:rFonts w:ascii="宋体" w:hAnsi="宋体" w:cs="宋体"/>
          <w:b/>
          <w:bCs/>
        </w:rPr>
      </w:pPr>
      <w:bookmarkStart w:id="62" w:name="_Toc988949"/>
      <w:r>
        <w:rPr>
          <w:rFonts w:ascii="宋体" w:hAnsi="宋体" w:cs="宋体"/>
          <w:b/>
          <w:bCs/>
        </w:rPr>
        <w:t>1、基本情况</w:t>
      </w:r>
      <w:bookmarkEnd w:id="62"/>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51"/>
        <w:gridCol w:w="810"/>
        <w:gridCol w:w="660"/>
        <w:gridCol w:w="615"/>
        <w:gridCol w:w="615"/>
        <w:gridCol w:w="705"/>
        <w:gridCol w:w="660"/>
        <w:gridCol w:w="855"/>
        <w:gridCol w:w="795"/>
        <w:gridCol w:w="780"/>
        <w:gridCol w:w="810"/>
        <w:gridCol w:w="825"/>
        <w:gridCol w:w="65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5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姓名</w:t>
            </w:r>
          </w:p>
        </w:tc>
        <w:tc>
          <w:tcPr>
            <w:tcW w:w="8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职务</w:t>
            </w:r>
          </w:p>
        </w:tc>
        <w:tc>
          <w:tcPr>
            <w:tcW w:w="6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任职状态</w:t>
            </w:r>
          </w:p>
        </w:tc>
        <w:tc>
          <w:tcPr>
            <w:tcW w:w="61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性别</w:t>
            </w:r>
          </w:p>
        </w:tc>
        <w:tc>
          <w:tcPr>
            <w:tcW w:w="61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年龄</w:t>
            </w:r>
          </w:p>
        </w:tc>
        <w:tc>
          <w:tcPr>
            <w:tcW w:w="7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任期起始日期</w:t>
            </w:r>
          </w:p>
        </w:tc>
        <w:tc>
          <w:tcPr>
            <w:tcW w:w="6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任期终止日期</w:t>
            </w:r>
          </w:p>
        </w:tc>
        <w:tc>
          <w:tcPr>
            <w:tcW w:w="85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期初持股数（股）</w:t>
            </w:r>
          </w:p>
        </w:tc>
        <w:tc>
          <w:tcPr>
            <w:tcW w:w="79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本期增持股份数量（股）</w:t>
            </w:r>
          </w:p>
        </w:tc>
        <w:tc>
          <w:tcPr>
            <w:tcW w:w="78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本期减持股份数量（股）</w:t>
            </w:r>
          </w:p>
        </w:tc>
        <w:tc>
          <w:tcPr>
            <w:tcW w:w="8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其他增减变动（股）</w:t>
            </w:r>
          </w:p>
        </w:tc>
        <w:tc>
          <w:tcPr>
            <w:tcW w:w="82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期末持股数（股）</w:t>
            </w:r>
          </w:p>
        </w:tc>
        <w:tc>
          <w:tcPr>
            <w:tcW w:w="65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股份增减变动的原因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李建林</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董事长</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现任</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男</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w:t>
            </w:r>
          </w:p>
        </w:tc>
        <w:tc>
          <w:tcPr>
            <w:tcW w:w="7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2017年04月06日</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2023年04月29日</w:t>
            </w:r>
          </w:p>
        </w:tc>
        <w:tc>
          <w:tcPr>
            <w:tcW w:w="8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4,650,000</w:t>
            </w:r>
          </w:p>
        </w:tc>
        <w:tc>
          <w:tcPr>
            <w:tcW w:w="7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2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4,650,000</w:t>
            </w:r>
          </w:p>
        </w:tc>
        <w:tc>
          <w:tcPr>
            <w:tcW w:w="65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李强祖</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董事、总经理</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现任</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男</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w:t>
            </w:r>
          </w:p>
        </w:tc>
        <w:tc>
          <w:tcPr>
            <w:tcW w:w="7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2004年05月08日</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2023年04月29日</w:t>
            </w:r>
          </w:p>
        </w:tc>
        <w:tc>
          <w:tcPr>
            <w:tcW w:w="8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6,497,253</w:t>
            </w:r>
          </w:p>
        </w:tc>
        <w:tc>
          <w:tcPr>
            <w:tcW w:w="7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2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6,497,253</w:t>
            </w:r>
          </w:p>
        </w:tc>
        <w:tc>
          <w:tcPr>
            <w:tcW w:w="65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宋财华</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董事、副总经理</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现任</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男</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w:t>
            </w:r>
          </w:p>
        </w:tc>
        <w:tc>
          <w:tcPr>
            <w:tcW w:w="7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2004年05月08日</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2023年04月29日</w:t>
            </w:r>
          </w:p>
        </w:tc>
        <w:tc>
          <w:tcPr>
            <w:tcW w:w="8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2,728,213</w:t>
            </w:r>
          </w:p>
        </w:tc>
        <w:tc>
          <w:tcPr>
            <w:tcW w:w="7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2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2,728,213</w:t>
            </w:r>
          </w:p>
        </w:tc>
        <w:tc>
          <w:tcPr>
            <w:tcW w:w="65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吴雪松</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董事、副总经理</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离任</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男</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w:t>
            </w:r>
          </w:p>
        </w:tc>
        <w:tc>
          <w:tcPr>
            <w:tcW w:w="7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2004年05月08日</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2022年05月10日</w:t>
            </w:r>
          </w:p>
        </w:tc>
        <w:tc>
          <w:tcPr>
            <w:tcW w:w="8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3,309,613</w:t>
            </w:r>
          </w:p>
        </w:tc>
        <w:tc>
          <w:tcPr>
            <w:tcW w:w="7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2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3,309,613</w:t>
            </w:r>
          </w:p>
        </w:tc>
        <w:tc>
          <w:tcPr>
            <w:tcW w:w="65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左富强</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现任</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男</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w:t>
            </w:r>
          </w:p>
        </w:tc>
        <w:tc>
          <w:tcPr>
            <w:tcW w:w="7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2022年07月15日</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2023年04月29日</w:t>
            </w:r>
          </w:p>
        </w:tc>
        <w:tc>
          <w:tcPr>
            <w:tcW w:w="8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2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65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童为民</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董事、副总经理、财务总监</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现任</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男</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w:t>
            </w:r>
          </w:p>
        </w:tc>
        <w:tc>
          <w:tcPr>
            <w:tcW w:w="7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2010年12月15日</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2023年04月29日</w:t>
            </w:r>
          </w:p>
        </w:tc>
        <w:tc>
          <w:tcPr>
            <w:tcW w:w="8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192,010</w:t>
            </w:r>
          </w:p>
        </w:tc>
        <w:tc>
          <w:tcPr>
            <w:tcW w:w="7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2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192,010</w:t>
            </w:r>
          </w:p>
        </w:tc>
        <w:tc>
          <w:tcPr>
            <w:tcW w:w="65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045" w:hRule="atLeast"/>
        </w:trPr>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郭华平</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独立董事</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现任</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男</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w:t>
            </w:r>
          </w:p>
        </w:tc>
        <w:tc>
          <w:tcPr>
            <w:tcW w:w="7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2020年04月30日</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2023年04月29日</w:t>
            </w:r>
          </w:p>
        </w:tc>
        <w:tc>
          <w:tcPr>
            <w:tcW w:w="8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2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65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李旭</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独立董事</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现任</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男</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64</w:t>
            </w:r>
          </w:p>
        </w:tc>
        <w:tc>
          <w:tcPr>
            <w:tcW w:w="7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2020年04月30日</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2023年04月29日</w:t>
            </w:r>
          </w:p>
        </w:tc>
        <w:tc>
          <w:tcPr>
            <w:tcW w:w="8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2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65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隋军</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独立董事</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离任</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男</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60</w:t>
            </w:r>
          </w:p>
        </w:tc>
        <w:tc>
          <w:tcPr>
            <w:tcW w:w="7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2020年10月16日</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2022年04月19日</w:t>
            </w:r>
          </w:p>
        </w:tc>
        <w:tc>
          <w:tcPr>
            <w:tcW w:w="8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2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65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曹元坤</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独立董事</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现任</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男</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w:t>
            </w:r>
          </w:p>
        </w:tc>
        <w:tc>
          <w:tcPr>
            <w:tcW w:w="7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2022年04月19日</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2023年04月29日</w:t>
            </w:r>
          </w:p>
        </w:tc>
        <w:tc>
          <w:tcPr>
            <w:tcW w:w="8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2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65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童保华</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监事会主席</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现任</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男</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w:t>
            </w:r>
          </w:p>
        </w:tc>
        <w:tc>
          <w:tcPr>
            <w:tcW w:w="7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2017年04月06日</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2023年04月29日</w:t>
            </w:r>
          </w:p>
        </w:tc>
        <w:tc>
          <w:tcPr>
            <w:tcW w:w="8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31,244,133</w:t>
            </w:r>
          </w:p>
        </w:tc>
        <w:tc>
          <w:tcPr>
            <w:tcW w:w="7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2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31,244,133</w:t>
            </w:r>
          </w:p>
        </w:tc>
        <w:tc>
          <w:tcPr>
            <w:tcW w:w="65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李静</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监事</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现任</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女</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w:t>
            </w:r>
          </w:p>
        </w:tc>
        <w:tc>
          <w:tcPr>
            <w:tcW w:w="7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2017年04月06日</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2023年04月29日</w:t>
            </w:r>
          </w:p>
        </w:tc>
        <w:tc>
          <w:tcPr>
            <w:tcW w:w="8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2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65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刘建华</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监事</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现任</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男</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w:t>
            </w:r>
          </w:p>
        </w:tc>
        <w:tc>
          <w:tcPr>
            <w:tcW w:w="7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2020年04月30日</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2023年04月29日</w:t>
            </w:r>
          </w:p>
        </w:tc>
        <w:tc>
          <w:tcPr>
            <w:tcW w:w="8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2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65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倪国强</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董事会秘书、副总经理</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现任</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男</w:t>
            </w:r>
          </w:p>
        </w:tc>
        <w:tc>
          <w:tcPr>
            <w:tcW w:w="61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w:t>
            </w:r>
          </w:p>
        </w:tc>
        <w:tc>
          <w:tcPr>
            <w:tcW w:w="7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2007年11月29日</w:t>
            </w:r>
          </w:p>
        </w:tc>
        <w:tc>
          <w:tcPr>
            <w:tcW w:w="6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2023年04月29日</w:t>
            </w:r>
          </w:p>
        </w:tc>
        <w:tc>
          <w:tcPr>
            <w:tcW w:w="8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185,610</w:t>
            </w:r>
          </w:p>
        </w:tc>
        <w:tc>
          <w:tcPr>
            <w:tcW w:w="7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2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185,610</w:t>
            </w:r>
          </w:p>
        </w:tc>
        <w:tc>
          <w:tcPr>
            <w:tcW w:w="65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5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8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1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1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7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6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8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48,806,832</w:t>
            </w:r>
          </w:p>
        </w:tc>
        <w:tc>
          <w:tcPr>
            <w:tcW w:w="7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2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48,806,832</w:t>
            </w:r>
          </w:p>
        </w:tc>
        <w:tc>
          <w:tcPr>
            <w:tcW w:w="65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报告期是否存在任期内董事、监事离任和高级管理人员解聘的情况</w:t>
      </w:r>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是 □否</w:t>
      </w:r>
    </w:p>
    <w:p>
      <w:pPr>
        <w:pStyle w:val="11"/>
        <w:rPr>
          <w:sz w:val="18"/>
          <w:szCs w:val="18"/>
        </w:rPr>
      </w:pPr>
      <w:r>
        <w:rPr>
          <w:rFonts w:hint="eastAsia"/>
          <w:sz w:val="18"/>
          <w:szCs w:val="18"/>
        </w:rPr>
        <w:t>2022年04月19日,</w:t>
      </w:r>
      <w:r>
        <w:rPr>
          <w:rFonts w:hint="eastAsia"/>
          <w:color w:val="333333"/>
          <w:sz w:val="18"/>
          <w:szCs w:val="18"/>
          <w:shd w:val="clear" w:color="auto" w:fill="FFFFFF"/>
        </w:rPr>
        <w:t>因个人原因，隋军先生辞去公司独立董事职务及所担任或所兼任的其他职务。</w:t>
      </w:r>
    </w:p>
    <w:p>
      <w:pPr>
        <w:pStyle w:val="11"/>
        <w:rPr>
          <w:sz w:val="18"/>
          <w:szCs w:val="18"/>
        </w:rPr>
      </w:pPr>
      <w:r>
        <w:rPr>
          <w:rFonts w:hint="eastAsia"/>
          <w:color w:val="333333"/>
          <w:sz w:val="18"/>
          <w:szCs w:val="18"/>
          <w:shd w:val="clear" w:color="auto" w:fill="FFFFFF"/>
        </w:rPr>
        <w:t>2022年05月10日,因个人原因，吴雪松先生辞去公司董事职务及所担任或所兼任的其他职务。</w:t>
      </w:r>
    </w:p>
    <w:p>
      <w:pPr>
        <w:spacing w:before="100" w:after="100" w:line="240" w:lineRule="exact"/>
        <w:rPr>
          <w:rFonts w:ascii="宋体" w:hAnsi="宋体" w:eastAsia="宋体" w:cs="宋体"/>
          <w:sz w:val="18"/>
          <w:szCs w:val="18"/>
        </w:rPr>
      </w:pPr>
      <w:r>
        <w:rPr>
          <w:rFonts w:ascii="宋体" w:hAnsi="宋体" w:eastAsia="宋体" w:cs="宋体"/>
          <w:sz w:val="18"/>
          <w:szCs w:val="18"/>
        </w:rPr>
        <w:t>公司董事、监事、高级管理人员变动情况</w:t>
      </w:r>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45"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姓名</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担任的职务</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类型</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日期</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原因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105"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隋军</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独立董事</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离任</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2022年04月19日</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因个人原因，隋军先生辞去公司独立董事及所担任或所兼任的其他职务。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105"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吴雪松</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董事、副总经理</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离任</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2022年05月10日</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因个人原因，吴雪松先生辞去公司董事及所担任或所兼任的其他职务。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25"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曹元坤</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独立董事</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被选举</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2022年04月19日</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被选举为第六届董事会独立董事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75"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左富强</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被选举</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2022年07月15日</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被选举为第六届董事会董事</w:t>
            </w:r>
          </w:p>
        </w:tc>
      </w:tr>
    </w:tbl>
    <w:p>
      <w:pPr>
        <w:pStyle w:val="4"/>
        <w:spacing w:line="280" w:lineRule="exact"/>
        <w:jc w:val="left"/>
        <w:rPr>
          <w:rFonts w:ascii="宋体" w:hAnsi="宋体" w:cs="宋体"/>
          <w:b/>
          <w:bCs/>
        </w:rPr>
      </w:pPr>
      <w:bookmarkStart w:id="63" w:name="_Toc988950"/>
      <w:r>
        <w:rPr>
          <w:rFonts w:ascii="宋体" w:hAnsi="宋体" w:cs="宋体"/>
          <w:b/>
          <w:bCs/>
        </w:rPr>
        <w:t>2、任职情况</w:t>
      </w:r>
      <w:bookmarkEnd w:id="63"/>
    </w:p>
    <w:p>
      <w:pPr>
        <w:spacing w:before="100" w:after="100" w:line="240" w:lineRule="exact"/>
        <w:rPr>
          <w:rFonts w:ascii="宋体" w:hAnsi="宋体" w:eastAsia="宋体" w:cs="宋体"/>
          <w:sz w:val="18"/>
          <w:szCs w:val="18"/>
        </w:rPr>
      </w:pPr>
      <w:r>
        <w:rPr>
          <w:rFonts w:ascii="宋体" w:hAnsi="宋体" w:eastAsia="宋体" w:cs="宋体"/>
          <w:sz w:val="18"/>
          <w:szCs w:val="18"/>
        </w:rPr>
        <w:t>公司现任董事、监事、高级管理人员专业背景、主要工作经历以及目前在公司的主要职责</w:t>
      </w:r>
    </w:p>
    <w:p>
      <w:pPr>
        <w:pStyle w:val="11"/>
        <w:spacing w:before="40" w:beforeAutospacing="0" w:after="40" w:afterAutospacing="0"/>
        <w:ind w:firstLine="360" w:firstLineChars="200"/>
        <w:rPr>
          <w:sz w:val="18"/>
          <w:szCs w:val="18"/>
        </w:rPr>
      </w:pPr>
      <w:r>
        <w:rPr>
          <w:rStyle w:val="16"/>
          <w:rFonts w:ascii="Times New Roman" w:hAnsi="Times New Roman" w:cs="Times New Roman"/>
          <w:sz w:val="18"/>
          <w:szCs w:val="18"/>
        </w:rPr>
        <w:t> 1</w:t>
      </w:r>
      <w:r>
        <w:rPr>
          <w:rStyle w:val="16"/>
          <w:rFonts w:hint="eastAsia"/>
          <w:sz w:val="18"/>
          <w:szCs w:val="18"/>
        </w:rPr>
        <w:t>、董事会成员</w:t>
      </w:r>
    </w:p>
    <w:p>
      <w:pPr>
        <w:pStyle w:val="11"/>
        <w:spacing w:before="40" w:beforeAutospacing="0" w:after="40" w:afterAutospacing="0"/>
        <w:ind w:firstLine="360" w:firstLineChars="200"/>
        <w:rPr>
          <w:sz w:val="18"/>
          <w:szCs w:val="18"/>
        </w:rPr>
      </w:pPr>
      <w:r>
        <w:rPr>
          <w:rFonts w:hint="eastAsia"/>
          <w:sz w:val="18"/>
          <w:szCs w:val="18"/>
        </w:rPr>
        <w:t>李建林先生，公司董事，出生于</w:t>
      </w:r>
      <w:r>
        <w:rPr>
          <w:rFonts w:ascii="Times New Roman" w:hAnsi="Times New Roman" w:cs="Times New Roman"/>
          <w:sz w:val="18"/>
          <w:szCs w:val="18"/>
        </w:rPr>
        <w:t>1956</w:t>
      </w:r>
      <w:r>
        <w:rPr>
          <w:rFonts w:hint="eastAsia"/>
          <w:sz w:val="18"/>
          <w:szCs w:val="18"/>
        </w:rPr>
        <w:t>年，中国国籍，无境外居留权，中专学历，高级经济师，高级政工师。曾任鹰潭市水表厂车间主任、生产技术科长、副厂长、厂长，鹰潭市三川有限公司董事长、总经理，</w:t>
      </w:r>
      <w:r>
        <w:rPr>
          <w:rFonts w:ascii="Times New Roman" w:hAnsi="Times New Roman" w:cs="Times New Roman"/>
          <w:sz w:val="18"/>
          <w:szCs w:val="18"/>
        </w:rPr>
        <w:t>2004</w:t>
      </w:r>
      <w:r>
        <w:rPr>
          <w:rFonts w:hint="eastAsia"/>
          <w:sz w:val="18"/>
          <w:szCs w:val="18"/>
        </w:rPr>
        <w:t>年</w:t>
      </w:r>
      <w:r>
        <w:rPr>
          <w:rFonts w:ascii="Times New Roman" w:hAnsi="Times New Roman" w:cs="Times New Roman"/>
          <w:sz w:val="18"/>
          <w:szCs w:val="18"/>
        </w:rPr>
        <w:t>6</w:t>
      </w:r>
      <w:r>
        <w:rPr>
          <w:rFonts w:hint="eastAsia"/>
          <w:sz w:val="18"/>
          <w:szCs w:val="18"/>
        </w:rPr>
        <w:t>月至今任江西三川集团有限公司董事长。</w:t>
      </w:r>
      <w:r>
        <w:rPr>
          <w:rFonts w:ascii="Times New Roman" w:hAnsi="Times New Roman" w:cs="Times New Roman"/>
          <w:sz w:val="18"/>
          <w:szCs w:val="18"/>
        </w:rPr>
        <w:t>2017</w:t>
      </w:r>
      <w:r>
        <w:rPr>
          <w:rFonts w:hint="eastAsia"/>
          <w:sz w:val="18"/>
          <w:szCs w:val="18"/>
        </w:rPr>
        <w:t>年</w:t>
      </w:r>
      <w:r>
        <w:rPr>
          <w:rFonts w:ascii="Times New Roman" w:hAnsi="Times New Roman" w:cs="Times New Roman"/>
          <w:sz w:val="18"/>
          <w:szCs w:val="18"/>
        </w:rPr>
        <w:t>4</w:t>
      </w:r>
      <w:r>
        <w:rPr>
          <w:rFonts w:hint="eastAsia"/>
          <w:sz w:val="18"/>
          <w:szCs w:val="18"/>
        </w:rPr>
        <w:t>月</w:t>
      </w:r>
      <w:r>
        <w:rPr>
          <w:rFonts w:ascii="Times New Roman" w:hAnsi="Times New Roman" w:cs="Times New Roman"/>
          <w:sz w:val="18"/>
          <w:szCs w:val="18"/>
        </w:rPr>
        <w:t>6</w:t>
      </w:r>
      <w:r>
        <w:rPr>
          <w:rFonts w:hint="eastAsia"/>
          <w:sz w:val="18"/>
          <w:szCs w:val="18"/>
        </w:rPr>
        <w:t>日起任本公司董事长。</w:t>
      </w:r>
    </w:p>
    <w:p>
      <w:pPr>
        <w:pStyle w:val="11"/>
        <w:spacing w:before="40" w:beforeAutospacing="0" w:after="40" w:afterAutospacing="0"/>
        <w:ind w:firstLine="360" w:firstLineChars="200"/>
        <w:rPr>
          <w:sz w:val="18"/>
          <w:szCs w:val="18"/>
        </w:rPr>
      </w:pPr>
      <w:r>
        <w:rPr>
          <w:rFonts w:hint="eastAsia"/>
          <w:sz w:val="18"/>
          <w:szCs w:val="18"/>
        </w:rPr>
        <w:t>李强祖先生，公司董事、总经理，出生于</w:t>
      </w:r>
      <w:r>
        <w:rPr>
          <w:sz w:val="18"/>
          <w:szCs w:val="18"/>
        </w:rPr>
        <w:t>1977</w:t>
      </w:r>
      <w:r>
        <w:rPr>
          <w:rFonts w:hint="eastAsia"/>
          <w:sz w:val="18"/>
          <w:szCs w:val="18"/>
        </w:rPr>
        <w:t>年，中国国籍，无境外居留权，大专学历，高级经济师。曾任鹰潭市水表配件厂副厂长、厂长，鹰潭市三川有限公司总经理助理，</w:t>
      </w:r>
      <w:r>
        <w:rPr>
          <w:sz w:val="18"/>
          <w:szCs w:val="18"/>
        </w:rPr>
        <w:t>2004</w:t>
      </w:r>
      <w:r>
        <w:rPr>
          <w:rFonts w:hint="eastAsia"/>
          <w:sz w:val="18"/>
          <w:szCs w:val="18"/>
        </w:rPr>
        <w:t>年</w:t>
      </w:r>
      <w:r>
        <w:rPr>
          <w:sz w:val="18"/>
          <w:szCs w:val="18"/>
        </w:rPr>
        <w:t>5</w:t>
      </w:r>
      <w:r>
        <w:rPr>
          <w:rFonts w:hint="eastAsia"/>
          <w:sz w:val="18"/>
          <w:szCs w:val="18"/>
        </w:rPr>
        <w:t>月至今任本公司总经理。</w:t>
      </w:r>
    </w:p>
    <w:p>
      <w:pPr>
        <w:pStyle w:val="11"/>
        <w:spacing w:before="40" w:beforeAutospacing="0" w:after="40" w:afterAutospacing="0"/>
        <w:ind w:firstLine="360" w:firstLineChars="200"/>
        <w:rPr>
          <w:sz w:val="18"/>
          <w:szCs w:val="18"/>
        </w:rPr>
      </w:pPr>
      <w:r>
        <w:rPr>
          <w:rFonts w:hint="eastAsia"/>
          <w:sz w:val="18"/>
          <w:szCs w:val="18"/>
        </w:rPr>
        <w:t>宋财华先生，公司董事、副总经理，出生于</w:t>
      </w:r>
      <w:r>
        <w:rPr>
          <w:sz w:val="18"/>
          <w:szCs w:val="18"/>
        </w:rPr>
        <w:t>1970</w:t>
      </w:r>
      <w:r>
        <w:rPr>
          <w:rFonts w:hint="eastAsia"/>
          <w:sz w:val="18"/>
          <w:szCs w:val="18"/>
        </w:rPr>
        <w:t>年，中国国籍，无境外居留权，研究生学历，高级工程师。曾任江西冠华电子有限公司生产技术科长，鹰潭市水表厂副总工程师，鹰潭市三川有限公司家用电器厂副厂长，鹰潭市三川有限公司技术厂长，</w:t>
      </w:r>
      <w:r>
        <w:rPr>
          <w:sz w:val="18"/>
          <w:szCs w:val="18"/>
        </w:rPr>
        <w:t>2004</w:t>
      </w:r>
      <w:r>
        <w:rPr>
          <w:rFonts w:hint="eastAsia"/>
          <w:sz w:val="18"/>
          <w:szCs w:val="18"/>
        </w:rPr>
        <w:t>年</w:t>
      </w:r>
      <w:r>
        <w:rPr>
          <w:sz w:val="18"/>
          <w:szCs w:val="18"/>
        </w:rPr>
        <w:t>5</w:t>
      </w:r>
      <w:r>
        <w:rPr>
          <w:rFonts w:hint="eastAsia"/>
          <w:sz w:val="18"/>
          <w:szCs w:val="18"/>
        </w:rPr>
        <w:t>月至今任本公司副总经理。</w:t>
      </w:r>
    </w:p>
    <w:p>
      <w:pPr>
        <w:pStyle w:val="11"/>
        <w:spacing w:before="40" w:beforeAutospacing="0" w:after="40" w:afterAutospacing="0"/>
        <w:ind w:firstLine="360" w:firstLineChars="200"/>
        <w:rPr>
          <w:sz w:val="18"/>
          <w:szCs w:val="18"/>
        </w:rPr>
      </w:pPr>
      <w:r>
        <w:rPr>
          <w:rFonts w:hint="eastAsia"/>
          <w:sz w:val="18"/>
          <w:szCs w:val="18"/>
        </w:rPr>
        <w:t>童为民先生，公司董事、财务总监，出生于</w:t>
      </w:r>
      <w:r>
        <w:rPr>
          <w:sz w:val="18"/>
          <w:szCs w:val="18"/>
        </w:rPr>
        <w:t>1970</w:t>
      </w:r>
      <w:r>
        <w:rPr>
          <w:rFonts w:hint="eastAsia"/>
          <w:sz w:val="18"/>
          <w:szCs w:val="18"/>
        </w:rPr>
        <w:t>年，中国国籍，无境外居留权，高级工商管理硕士，高级会计师、经济师。曾任江西诚志永丰药业有限公司财务经理，江西诚志生物工程有限公司财务经理，</w:t>
      </w:r>
      <w:r>
        <w:rPr>
          <w:sz w:val="18"/>
          <w:szCs w:val="18"/>
        </w:rPr>
        <w:t>2007</w:t>
      </w:r>
      <w:r>
        <w:rPr>
          <w:rFonts w:hint="eastAsia"/>
          <w:sz w:val="18"/>
          <w:szCs w:val="18"/>
        </w:rPr>
        <w:t>年</w:t>
      </w:r>
      <w:r>
        <w:rPr>
          <w:sz w:val="18"/>
          <w:szCs w:val="18"/>
        </w:rPr>
        <w:t>12</w:t>
      </w:r>
      <w:r>
        <w:rPr>
          <w:rFonts w:hint="eastAsia"/>
          <w:sz w:val="18"/>
          <w:szCs w:val="18"/>
        </w:rPr>
        <w:t>月至今任本公司财务总监，从</w:t>
      </w:r>
      <w:r>
        <w:rPr>
          <w:sz w:val="18"/>
          <w:szCs w:val="18"/>
        </w:rPr>
        <w:t>2014</w:t>
      </w:r>
      <w:r>
        <w:rPr>
          <w:rFonts w:hint="eastAsia"/>
          <w:sz w:val="18"/>
          <w:szCs w:val="18"/>
        </w:rPr>
        <w:t>年</w:t>
      </w:r>
      <w:r>
        <w:rPr>
          <w:sz w:val="18"/>
          <w:szCs w:val="18"/>
        </w:rPr>
        <w:t>5</w:t>
      </w:r>
      <w:r>
        <w:rPr>
          <w:rFonts w:hint="eastAsia"/>
          <w:sz w:val="18"/>
          <w:szCs w:val="18"/>
        </w:rPr>
        <w:t>月起聘任为公司副总经理。</w:t>
      </w:r>
    </w:p>
    <w:p>
      <w:pPr>
        <w:pStyle w:val="11"/>
        <w:spacing w:before="40" w:beforeAutospacing="0" w:after="40" w:afterAutospacing="0"/>
        <w:ind w:firstLine="360" w:firstLineChars="200"/>
        <w:rPr>
          <w:sz w:val="18"/>
          <w:szCs w:val="18"/>
        </w:rPr>
      </w:pPr>
      <w:r>
        <w:rPr>
          <w:rFonts w:hint="eastAsia"/>
          <w:sz w:val="18"/>
          <w:szCs w:val="18"/>
        </w:rPr>
        <w:t>左富强先生，公司董事，1982年出生，中国国籍，无境外永久居留权，高级工程师，2004年毕业于江西科技师范大学电子信息工程专业，2008年获宁波大学电路与系统硕士学位，2022年获中科院微电子研究所微电子学与固体电子学博士学位。左富强先生于2022年1月入职三川智慧科技股份有限公司，受聘担任公司总经理助理，同时兼任公司水计量事业群技术中心负责人。</w:t>
      </w:r>
    </w:p>
    <w:p>
      <w:pPr>
        <w:pStyle w:val="11"/>
        <w:spacing w:before="40" w:beforeAutospacing="0" w:after="40" w:afterAutospacing="0"/>
        <w:ind w:firstLine="360" w:firstLineChars="200"/>
        <w:rPr>
          <w:sz w:val="18"/>
          <w:szCs w:val="18"/>
        </w:rPr>
      </w:pPr>
      <w:r>
        <w:rPr>
          <w:rFonts w:hint="eastAsia"/>
          <w:sz w:val="18"/>
          <w:szCs w:val="18"/>
        </w:rPr>
        <w:t>郭华平先生，</w:t>
      </w:r>
      <w:r>
        <w:rPr>
          <w:sz w:val="18"/>
          <w:szCs w:val="18"/>
        </w:rPr>
        <w:t>1963</w:t>
      </w:r>
      <w:r>
        <w:rPr>
          <w:rFonts w:hint="eastAsia"/>
          <w:sz w:val="18"/>
          <w:szCs w:val="18"/>
        </w:rPr>
        <w:t>年出生，中国国籍，无境外居留权，经济学博士，会计学教授，中国注册会计师。曾任江西财经大学会计系会计教研室副主任、会计系主任、教务处副处长，校评建办副主任、现代教育中心副主任，现任江西财经大学会计学院教授，兼任现任江西财经大学会计学院教授，兼任山东博汇纸业股份有限公司及江西海源复合材料科技股份有限公司独立董事。</w:t>
      </w:r>
    </w:p>
    <w:p>
      <w:pPr>
        <w:pStyle w:val="11"/>
        <w:spacing w:before="40" w:beforeAutospacing="0" w:after="40" w:afterAutospacing="0"/>
        <w:ind w:firstLine="360" w:firstLineChars="200"/>
        <w:rPr>
          <w:sz w:val="18"/>
          <w:szCs w:val="18"/>
        </w:rPr>
      </w:pPr>
      <w:r>
        <w:rPr>
          <w:rFonts w:hint="eastAsia"/>
          <w:sz w:val="18"/>
          <w:szCs w:val="18"/>
        </w:rPr>
        <w:t>李旭先生，</w:t>
      </w:r>
      <w:r>
        <w:rPr>
          <w:sz w:val="18"/>
          <w:szCs w:val="18"/>
        </w:rPr>
        <w:t>1958</w:t>
      </w:r>
      <w:r>
        <w:rPr>
          <w:rFonts w:hint="eastAsia"/>
          <w:sz w:val="18"/>
          <w:szCs w:val="18"/>
        </w:rPr>
        <w:t>年出生，中国国籍，无境外居留权，学士学历，国家一级注册计量师、高级工程师，曾任中国计量科学研究院计量流量室主任。</w:t>
      </w:r>
    </w:p>
    <w:p>
      <w:pPr>
        <w:pStyle w:val="11"/>
        <w:spacing w:before="40" w:beforeAutospacing="0" w:after="40" w:afterAutospacing="0"/>
        <w:ind w:firstLine="360" w:firstLineChars="200"/>
        <w:rPr>
          <w:sz w:val="18"/>
          <w:szCs w:val="18"/>
        </w:rPr>
      </w:pPr>
      <w:r>
        <w:rPr>
          <w:rFonts w:hint="eastAsia"/>
          <w:sz w:val="18"/>
          <w:szCs w:val="18"/>
        </w:rPr>
        <w:t>曹元坤先生，1966年出生，中国国籍，无境外永久居留权，1998年获南京大学国际商学院管理学博士学位，2002年晋升为管理学教授，2006年起被聘任为管理理论与企业管理专业（2006-2011）、企业管理专业（2011-）博士生导师。先后任职江西财经大学当代财经杂志社常务副社长和全国核心刊物《当代财经》及《江西财经大学学报》的常务副主编、江西财经大学经济与社会发展研究院院长、江西财经大学江西经济发展研究院院长等。期间，于1999年7月至2000年8月曾作为中组部、团中央首届“博士服务团”成员赴江西省南康市任职副市长一年，并被南康市人民政府授予“南康市荣誉市民”称号。曾担任国家科技部和财政部“农业科技成果转化资金”项目评估专家、江西省委政策研究室经济政策特约研究员、南昌市第十三届及第十四届人大代表和财经委委员等。现为江西省高校人文社科重点研究基地江西财经大学产业集群与企业发展研究中心主任、工商管理学院教授、江西省国资委驻江西省建材集团公司外部董事等。</w:t>
      </w:r>
    </w:p>
    <w:p>
      <w:pPr>
        <w:pStyle w:val="11"/>
        <w:spacing w:before="40" w:beforeAutospacing="0" w:after="40" w:afterAutospacing="0"/>
        <w:ind w:firstLine="360" w:firstLineChars="200"/>
        <w:rPr>
          <w:sz w:val="18"/>
          <w:szCs w:val="18"/>
        </w:rPr>
      </w:pPr>
      <w:r>
        <w:rPr>
          <w:rStyle w:val="16"/>
          <w:rFonts w:ascii="Times New Roman" w:hAnsi="Times New Roman" w:cs="Times New Roman"/>
          <w:sz w:val="18"/>
          <w:szCs w:val="18"/>
        </w:rPr>
        <w:t> 2</w:t>
      </w:r>
      <w:r>
        <w:rPr>
          <w:rStyle w:val="16"/>
          <w:rFonts w:hint="eastAsia"/>
          <w:sz w:val="18"/>
          <w:szCs w:val="18"/>
        </w:rPr>
        <w:t>、监事会成员</w:t>
      </w:r>
    </w:p>
    <w:p>
      <w:pPr>
        <w:pStyle w:val="11"/>
        <w:spacing w:before="40" w:beforeAutospacing="0" w:after="40" w:afterAutospacing="0"/>
        <w:ind w:firstLine="360" w:firstLineChars="200"/>
        <w:rPr>
          <w:sz w:val="18"/>
          <w:szCs w:val="18"/>
        </w:rPr>
      </w:pPr>
      <w:r>
        <w:rPr>
          <w:rFonts w:hint="eastAsia"/>
          <w:sz w:val="18"/>
          <w:szCs w:val="18"/>
        </w:rPr>
        <w:t>童保华先生，公司监事会主席，出生于</w:t>
      </w:r>
      <w:r>
        <w:rPr>
          <w:sz w:val="18"/>
          <w:szCs w:val="18"/>
        </w:rPr>
        <w:t>1956</w:t>
      </w:r>
      <w:r>
        <w:rPr>
          <w:rFonts w:hint="eastAsia"/>
          <w:sz w:val="18"/>
          <w:szCs w:val="18"/>
        </w:rPr>
        <w:t>年，中国国籍，无境外居留权，大专学历，经济师。历任鹰潭市水表厂车间主任、厂办主任、副厂长，鹰潭市三川有限公司水表厂厂长，</w:t>
      </w:r>
      <w:r>
        <w:rPr>
          <w:sz w:val="18"/>
          <w:szCs w:val="18"/>
        </w:rPr>
        <w:t>2004</w:t>
      </w:r>
      <w:r>
        <w:rPr>
          <w:rFonts w:hint="eastAsia"/>
          <w:sz w:val="18"/>
          <w:szCs w:val="18"/>
        </w:rPr>
        <w:t>年</w:t>
      </w:r>
      <w:r>
        <w:rPr>
          <w:sz w:val="18"/>
          <w:szCs w:val="18"/>
        </w:rPr>
        <w:t>5</w:t>
      </w:r>
      <w:r>
        <w:rPr>
          <w:rFonts w:hint="eastAsia"/>
          <w:sz w:val="18"/>
          <w:szCs w:val="18"/>
        </w:rPr>
        <w:t>月至</w:t>
      </w:r>
      <w:r>
        <w:rPr>
          <w:sz w:val="18"/>
          <w:szCs w:val="18"/>
        </w:rPr>
        <w:t>2017</w:t>
      </w:r>
      <w:r>
        <w:rPr>
          <w:rFonts w:hint="eastAsia"/>
          <w:sz w:val="18"/>
          <w:szCs w:val="18"/>
        </w:rPr>
        <w:t>年</w:t>
      </w:r>
      <w:r>
        <w:rPr>
          <w:sz w:val="18"/>
          <w:szCs w:val="18"/>
        </w:rPr>
        <w:t>4</w:t>
      </w:r>
      <w:r>
        <w:rPr>
          <w:rFonts w:hint="eastAsia"/>
          <w:sz w:val="18"/>
          <w:szCs w:val="18"/>
        </w:rPr>
        <w:t>月任本公司董事长，</w:t>
      </w:r>
      <w:r>
        <w:rPr>
          <w:sz w:val="18"/>
          <w:szCs w:val="18"/>
        </w:rPr>
        <w:t>2017</w:t>
      </w:r>
      <w:r>
        <w:rPr>
          <w:rFonts w:hint="eastAsia"/>
          <w:sz w:val="18"/>
          <w:szCs w:val="18"/>
        </w:rPr>
        <w:t>年</w:t>
      </w:r>
      <w:r>
        <w:rPr>
          <w:sz w:val="18"/>
          <w:szCs w:val="18"/>
        </w:rPr>
        <w:t>4</w:t>
      </w:r>
      <w:r>
        <w:rPr>
          <w:rFonts w:hint="eastAsia"/>
          <w:sz w:val="18"/>
          <w:szCs w:val="18"/>
        </w:rPr>
        <w:t>月</w:t>
      </w:r>
      <w:r>
        <w:rPr>
          <w:sz w:val="18"/>
          <w:szCs w:val="18"/>
        </w:rPr>
        <w:t>6</w:t>
      </w:r>
      <w:r>
        <w:rPr>
          <w:rFonts w:hint="eastAsia"/>
          <w:sz w:val="18"/>
          <w:szCs w:val="18"/>
        </w:rPr>
        <w:t>日至今任本公司监事会主席。</w:t>
      </w:r>
    </w:p>
    <w:p>
      <w:pPr>
        <w:pStyle w:val="11"/>
        <w:spacing w:before="40" w:beforeAutospacing="0" w:after="40" w:afterAutospacing="0"/>
        <w:ind w:firstLine="360" w:firstLineChars="200"/>
        <w:rPr>
          <w:sz w:val="18"/>
          <w:szCs w:val="18"/>
        </w:rPr>
      </w:pPr>
      <w:r>
        <w:rPr>
          <w:rFonts w:hint="eastAsia"/>
          <w:sz w:val="18"/>
          <w:szCs w:val="18"/>
        </w:rPr>
        <w:t>刘建华先生，</w:t>
      </w:r>
      <w:r>
        <w:rPr>
          <w:sz w:val="18"/>
          <w:szCs w:val="18"/>
        </w:rPr>
        <w:t>1982</w:t>
      </w:r>
      <w:r>
        <w:rPr>
          <w:rFonts w:hint="eastAsia"/>
          <w:sz w:val="18"/>
          <w:szCs w:val="18"/>
        </w:rPr>
        <w:t>年出生，中国国籍，无境外居留权，本科学历，高级会计师，</w:t>
      </w:r>
      <w:r>
        <w:rPr>
          <w:sz w:val="18"/>
          <w:szCs w:val="18"/>
        </w:rPr>
        <w:t>2004</w:t>
      </w:r>
      <w:r>
        <w:rPr>
          <w:rFonts w:hint="eastAsia"/>
          <w:sz w:val="18"/>
          <w:szCs w:val="18"/>
        </w:rPr>
        <w:t>年</w:t>
      </w:r>
      <w:r>
        <w:rPr>
          <w:sz w:val="18"/>
          <w:szCs w:val="18"/>
        </w:rPr>
        <w:t>-2009</w:t>
      </w:r>
      <w:r>
        <w:rPr>
          <w:rFonts w:hint="eastAsia"/>
          <w:sz w:val="18"/>
          <w:szCs w:val="18"/>
        </w:rPr>
        <w:t>年在江西三川水表股份有限公司任会计、科长。</w:t>
      </w:r>
      <w:r>
        <w:rPr>
          <w:sz w:val="18"/>
          <w:szCs w:val="18"/>
        </w:rPr>
        <w:t>2009</w:t>
      </w:r>
      <w:r>
        <w:rPr>
          <w:rFonts w:hint="eastAsia"/>
          <w:sz w:val="18"/>
          <w:szCs w:val="18"/>
        </w:rPr>
        <w:t>年</w:t>
      </w:r>
      <w:r>
        <w:rPr>
          <w:sz w:val="18"/>
          <w:szCs w:val="18"/>
        </w:rPr>
        <w:t>-2012</w:t>
      </w:r>
      <w:r>
        <w:rPr>
          <w:rFonts w:hint="eastAsia"/>
          <w:sz w:val="18"/>
          <w:szCs w:val="18"/>
        </w:rPr>
        <w:t>年在山东三川水表有限公司任财务总监。</w:t>
      </w:r>
      <w:r>
        <w:rPr>
          <w:sz w:val="18"/>
          <w:szCs w:val="18"/>
        </w:rPr>
        <w:t>2012</w:t>
      </w:r>
      <w:r>
        <w:rPr>
          <w:rFonts w:hint="eastAsia"/>
          <w:sz w:val="18"/>
          <w:szCs w:val="18"/>
        </w:rPr>
        <w:t>年</w:t>
      </w:r>
      <w:r>
        <w:rPr>
          <w:sz w:val="18"/>
          <w:szCs w:val="18"/>
        </w:rPr>
        <w:t>-2014</w:t>
      </w:r>
      <w:r>
        <w:rPr>
          <w:rFonts w:hint="eastAsia"/>
          <w:sz w:val="18"/>
          <w:szCs w:val="18"/>
        </w:rPr>
        <w:t>年在温岭甬岭水表有限公司任财务总监。</w:t>
      </w:r>
      <w:r>
        <w:rPr>
          <w:sz w:val="18"/>
          <w:szCs w:val="18"/>
        </w:rPr>
        <w:t>2015</w:t>
      </w:r>
      <w:r>
        <w:rPr>
          <w:rFonts w:hint="eastAsia"/>
          <w:sz w:val="18"/>
          <w:szCs w:val="18"/>
        </w:rPr>
        <w:t>年</w:t>
      </w:r>
      <w:r>
        <w:rPr>
          <w:sz w:val="18"/>
          <w:szCs w:val="18"/>
        </w:rPr>
        <w:t>-2019</w:t>
      </w:r>
      <w:r>
        <w:rPr>
          <w:rFonts w:hint="eastAsia"/>
          <w:sz w:val="18"/>
          <w:szCs w:val="18"/>
        </w:rPr>
        <w:t>年分管公司分子公司财务管理工作，</w:t>
      </w:r>
      <w:r>
        <w:rPr>
          <w:sz w:val="18"/>
          <w:szCs w:val="18"/>
        </w:rPr>
        <w:t>2019</w:t>
      </w:r>
      <w:r>
        <w:rPr>
          <w:rFonts w:hint="eastAsia"/>
          <w:sz w:val="18"/>
          <w:szCs w:val="18"/>
        </w:rPr>
        <w:t>年至今在公司任财务部长。</w:t>
      </w:r>
    </w:p>
    <w:p>
      <w:pPr>
        <w:pStyle w:val="11"/>
        <w:spacing w:before="40" w:beforeAutospacing="0" w:after="40" w:afterAutospacing="0"/>
        <w:ind w:firstLine="360" w:firstLineChars="200"/>
        <w:rPr>
          <w:sz w:val="18"/>
          <w:szCs w:val="18"/>
        </w:rPr>
      </w:pPr>
      <w:r>
        <w:rPr>
          <w:rFonts w:hint="eastAsia"/>
          <w:sz w:val="18"/>
          <w:szCs w:val="18"/>
        </w:rPr>
        <w:t>李静女士，公司职工监事，出生于</w:t>
      </w:r>
      <w:r>
        <w:rPr>
          <w:sz w:val="18"/>
          <w:szCs w:val="18"/>
        </w:rPr>
        <w:t>1984</w:t>
      </w:r>
      <w:r>
        <w:rPr>
          <w:rFonts w:hint="eastAsia"/>
          <w:sz w:val="18"/>
          <w:szCs w:val="18"/>
        </w:rPr>
        <w:t>年，中国国籍，无境外居留权，本科学历。</w:t>
      </w:r>
      <w:r>
        <w:rPr>
          <w:sz w:val="18"/>
          <w:szCs w:val="18"/>
        </w:rPr>
        <w:t>2004</w:t>
      </w:r>
      <w:r>
        <w:rPr>
          <w:rFonts w:hint="eastAsia"/>
          <w:sz w:val="18"/>
          <w:szCs w:val="18"/>
        </w:rPr>
        <w:t>年</w:t>
      </w:r>
      <w:r>
        <w:rPr>
          <w:sz w:val="18"/>
          <w:szCs w:val="18"/>
        </w:rPr>
        <w:t>9</w:t>
      </w:r>
      <w:r>
        <w:rPr>
          <w:rFonts w:hint="eastAsia"/>
          <w:sz w:val="18"/>
          <w:szCs w:val="18"/>
        </w:rPr>
        <w:t>月进入公司工作，曾任公司控股子公司山东三川计划科科长、公司计划服务科科长，</w:t>
      </w:r>
      <w:r>
        <w:rPr>
          <w:sz w:val="18"/>
          <w:szCs w:val="18"/>
        </w:rPr>
        <w:t>2016</w:t>
      </w:r>
      <w:r>
        <w:rPr>
          <w:rFonts w:hint="eastAsia"/>
          <w:sz w:val="18"/>
          <w:szCs w:val="18"/>
        </w:rPr>
        <w:t>年</w:t>
      </w:r>
      <w:r>
        <w:rPr>
          <w:sz w:val="18"/>
          <w:szCs w:val="18"/>
        </w:rPr>
        <w:t>4</w:t>
      </w:r>
      <w:r>
        <w:rPr>
          <w:rFonts w:hint="eastAsia"/>
          <w:sz w:val="18"/>
          <w:szCs w:val="18"/>
        </w:rPr>
        <w:t>月至今任公司综合管理科科长。</w:t>
      </w:r>
      <w:r>
        <w:rPr>
          <w:sz w:val="18"/>
          <w:szCs w:val="18"/>
        </w:rPr>
        <w:t>2017</w:t>
      </w:r>
      <w:r>
        <w:rPr>
          <w:rFonts w:hint="eastAsia"/>
          <w:sz w:val="18"/>
          <w:szCs w:val="18"/>
        </w:rPr>
        <w:t>年</w:t>
      </w:r>
      <w:r>
        <w:rPr>
          <w:sz w:val="18"/>
          <w:szCs w:val="18"/>
        </w:rPr>
        <w:t>4</w:t>
      </w:r>
      <w:r>
        <w:rPr>
          <w:rFonts w:hint="eastAsia"/>
          <w:sz w:val="18"/>
          <w:szCs w:val="18"/>
        </w:rPr>
        <w:t>月</w:t>
      </w:r>
      <w:r>
        <w:rPr>
          <w:sz w:val="18"/>
          <w:szCs w:val="18"/>
        </w:rPr>
        <w:t>6</w:t>
      </w:r>
      <w:r>
        <w:rPr>
          <w:rFonts w:hint="eastAsia"/>
          <w:sz w:val="18"/>
          <w:szCs w:val="18"/>
        </w:rPr>
        <w:t>日至今任公司职工监事。</w:t>
      </w:r>
    </w:p>
    <w:p>
      <w:pPr>
        <w:pStyle w:val="11"/>
        <w:spacing w:before="40" w:beforeAutospacing="0" w:after="40" w:afterAutospacing="0"/>
        <w:ind w:firstLine="360" w:firstLineChars="200"/>
        <w:rPr>
          <w:rStyle w:val="16"/>
          <w:rFonts w:ascii="Times New Roman" w:hAnsi="Times New Roman" w:cs="Times New Roman"/>
          <w:sz w:val="18"/>
          <w:szCs w:val="18"/>
        </w:rPr>
      </w:pPr>
    </w:p>
    <w:p>
      <w:pPr>
        <w:pStyle w:val="11"/>
        <w:spacing w:before="40" w:beforeAutospacing="0" w:after="40" w:afterAutospacing="0"/>
        <w:ind w:firstLine="360" w:firstLineChars="200"/>
        <w:rPr>
          <w:sz w:val="18"/>
          <w:szCs w:val="18"/>
        </w:rPr>
      </w:pPr>
      <w:r>
        <w:rPr>
          <w:rStyle w:val="16"/>
          <w:rFonts w:ascii="Times New Roman" w:hAnsi="Times New Roman" w:cs="Times New Roman"/>
          <w:sz w:val="18"/>
          <w:szCs w:val="18"/>
        </w:rPr>
        <w:t>3</w:t>
      </w:r>
      <w:r>
        <w:rPr>
          <w:rStyle w:val="16"/>
          <w:rFonts w:hint="eastAsia"/>
          <w:sz w:val="18"/>
          <w:szCs w:val="18"/>
        </w:rPr>
        <w:t>、高级管理人员</w:t>
      </w:r>
    </w:p>
    <w:p>
      <w:pPr>
        <w:pStyle w:val="11"/>
        <w:spacing w:before="40" w:beforeAutospacing="0" w:after="40" w:afterAutospacing="0"/>
        <w:ind w:firstLine="360" w:firstLineChars="200"/>
        <w:rPr>
          <w:sz w:val="18"/>
          <w:szCs w:val="18"/>
        </w:rPr>
      </w:pPr>
      <w:r>
        <w:rPr>
          <w:rFonts w:hint="eastAsia"/>
          <w:sz w:val="18"/>
          <w:szCs w:val="18"/>
        </w:rPr>
        <w:t>李强祖先生，公司总经理，简历见前述董事介绍。</w:t>
      </w:r>
    </w:p>
    <w:p>
      <w:pPr>
        <w:pStyle w:val="11"/>
        <w:spacing w:before="40" w:beforeAutospacing="0" w:after="40" w:afterAutospacing="0"/>
        <w:ind w:firstLine="360" w:firstLineChars="200"/>
        <w:rPr>
          <w:sz w:val="18"/>
          <w:szCs w:val="18"/>
        </w:rPr>
      </w:pPr>
      <w:r>
        <w:rPr>
          <w:rFonts w:hint="eastAsia"/>
          <w:sz w:val="18"/>
          <w:szCs w:val="18"/>
        </w:rPr>
        <w:t>宋财华先生，公司副总经理，简历见前述董事介绍。</w:t>
      </w:r>
    </w:p>
    <w:p>
      <w:pPr>
        <w:pStyle w:val="11"/>
        <w:spacing w:before="40" w:beforeAutospacing="0" w:after="40" w:afterAutospacing="0"/>
        <w:ind w:firstLine="360" w:firstLineChars="200"/>
        <w:rPr>
          <w:sz w:val="18"/>
          <w:szCs w:val="18"/>
        </w:rPr>
      </w:pPr>
      <w:r>
        <w:rPr>
          <w:rFonts w:hint="eastAsia"/>
          <w:sz w:val="18"/>
          <w:szCs w:val="18"/>
        </w:rPr>
        <w:t>童为民先生，公司副总经理、财务总监，简历见前述董事介绍。</w:t>
      </w:r>
    </w:p>
    <w:p>
      <w:pPr>
        <w:pStyle w:val="11"/>
        <w:spacing w:before="40" w:beforeAutospacing="0" w:after="40" w:afterAutospacing="0"/>
        <w:ind w:firstLine="360" w:firstLineChars="200"/>
        <w:rPr>
          <w:sz w:val="18"/>
          <w:szCs w:val="18"/>
        </w:rPr>
      </w:pPr>
      <w:r>
        <w:rPr>
          <w:rFonts w:hint="eastAsia"/>
          <w:sz w:val="18"/>
          <w:szCs w:val="18"/>
        </w:rPr>
        <w:t>倪国强先生，公司董事会秘书、副总经理，出生于</w:t>
      </w:r>
      <w:r>
        <w:rPr>
          <w:sz w:val="18"/>
          <w:szCs w:val="18"/>
        </w:rPr>
        <w:t>1965</w:t>
      </w:r>
      <w:r>
        <w:rPr>
          <w:rFonts w:hint="eastAsia"/>
          <w:sz w:val="18"/>
          <w:szCs w:val="18"/>
        </w:rPr>
        <w:t>年，中国国籍，无境外居留权，高级工商管理硕士，律师。曾任江西省第四劳教支队管教、行政秘书，鹰潭市司法局科员，鹰潭市第二律师事务所主任助理、主任，江西三川集团有限公司法律顾问，</w:t>
      </w:r>
      <w:r>
        <w:rPr>
          <w:sz w:val="18"/>
          <w:szCs w:val="18"/>
        </w:rPr>
        <w:t>2007</w:t>
      </w:r>
      <w:r>
        <w:rPr>
          <w:rFonts w:hint="eastAsia"/>
          <w:sz w:val="18"/>
          <w:szCs w:val="18"/>
        </w:rPr>
        <w:t>年</w:t>
      </w:r>
      <w:r>
        <w:rPr>
          <w:sz w:val="18"/>
          <w:szCs w:val="18"/>
        </w:rPr>
        <w:t>11</w:t>
      </w:r>
      <w:r>
        <w:rPr>
          <w:rFonts w:hint="eastAsia"/>
          <w:sz w:val="18"/>
          <w:szCs w:val="18"/>
        </w:rPr>
        <w:t>月至今任本公司董事会秘书，从</w:t>
      </w:r>
      <w:r>
        <w:rPr>
          <w:sz w:val="18"/>
          <w:szCs w:val="18"/>
        </w:rPr>
        <w:t>2010</w:t>
      </w:r>
      <w:r>
        <w:rPr>
          <w:rFonts w:hint="eastAsia"/>
          <w:sz w:val="18"/>
          <w:szCs w:val="18"/>
        </w:rPr>
        <w:t>年</w:t>
      </w:r>
      <w:r>
        <w:rPr>
          <w:sz w:val="18"/>
          <w:szCs w:val="18"/>
        </w:rPr>
        <w:t>5</w:t>
      </w:r>
      <w:r>
        <w:rPr>
          <w:rFonts w:hint="eastAsia"/>
          <w:sz w:val="18"/>
          <w:szCs w:val="18"/>
        </w:rPr>
        <w:t>月起聘任为公司副总经理。</w:t>
      </w:r>
    </w:p>
    <w:p>
      <w:pPr>
        <w:spacing w:before="100" w:after="100" w:line="240" w:lineRule="exact"/>
        <w:rPr>
          <w:rFonts w:ascii="宋体" w:hAnsi="宋体" w:eastAsia="宋体" w:cs="宋体"/>
          <w:sz w:val="18"/>
          <w:szCs w:val="18"/>
        </w:rPr>
      </w:pPr>
      <w:r>
        <w:rPr>
          <w:rFonts w:ascii="宋体" w:hAnsi="宋体" w:eastAsia="宋体" w:cs="宋体"/>
          <w:sz w:val="18"/>
          <w:szCs w:val="18"/>
        </w:rPr>
        <w:t>在股东单位任职情况</w:t>
      </w:r>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7"/>
        <w:gridCol w:w="1606"/>
        <w:gridCol w:w="1606"/>
        <w:gridCol w:w="1702"/>
        <w:gridCol w:w="1510"/>
        <w:gridCol w:w="160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任职人员姓名</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股东单位名称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在股东单位担任的职务</w:t>
            </w:r>
          </w:p>
        </w:tc>
        <w:tc>
          <w:tcPr>
            <w:tcW w:w="170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任期起始日期</w:t>
            </w:r>
          </w:p>
        </w:tc>
        <w:tc>
          <w:tcPr>
            <w:tcW w:w="15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任期终止日期</w:t>
            </w:r>
          </w:p>
        </w:tc>
        <w:tc>
          <w:tcPr>
            <w:tcW w:w="160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在股东单位是否领取报酬津贴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李建林</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董事长</w:t>
            </w:r>
          </w:p>
        </w:tc>
        <w:tc>
          <w:tcPr>
            <w:tcW w:w="170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2011年09月14日</w:t>
            </w:r>
          </w:p>
        </w:tc>
        <w:tc>
          <w:tcPr>
            <w:tcW w:w="15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李强祖</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w:t>
            </w:r>
          </w:p>
        </w:tc>
        <w:tc>
          <w:tcPr>
            <w:tcW w:w="170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2011年09月14日</w:t>
            </w:r>
          </w:p>
        </w:tc>
        <w:tc>
          <w:tcPr>
            <w:tcW w:w="15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童保华</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监事会主席</w:t>
            </w:r>
          </w:p>
        </w:tc>
        <w:tc>
          <w:tcPr>
            <w:tcW w:w="170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2020年09月28日</w:t>
            </w:r>
          </w:p>
        </w:tc>
        <w:tc>
          <w:tcPr>
            <w:tcW w:w="15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宋财华</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w:t>
            </w:r>
          </w:p>
        </w:tc>
        <w:tc>
          <w:tcPr>
            <w:tcW w:w="170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2011年09月14日</w:t>
            </w:r>
          </w:p>
        </w:tc>
        <w:tc>
          <w:tcPr>
            <w:tcW w:w="15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童为民</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w:t>
            </w:r>
          </w:p>
        </w:tc>
        <w:tc>
          <w:tcPr>
            <w:tcW w:w="170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2020年09月28日</w:t>
            </w:r>
          </w:p>
        </w:tc>
        <w:tc>
          <w:tcPr>
            <w:tcW w:w="15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在股东单位任职情况的说明</w:t>
            </w:r>
          </w:p>
        </w:tc>
        <w:tc>
          <w:tcPr>
            <w:tcW w:w="8032" w:type="dxa"/>
            <w:gridSpan w:val="5"/>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江西三川集团有限公司为本公司的控股股东</w:t>
            </w:r>
          </w:p>
        </w:tc>
      </w:tr>
    </w:tbl>
    <w:p>
      <w:pPr>
        <w:spacing w:before="100" w:after="100" w:line="240" w:lineRule="exact"/>
        <w:rPr>
          <w:rFonts w:ascii="宋体" w:hAnsi="宋体" w:eastAsia="宋体" w:cs="宋体"/>
          <w:sz w:val="18"/>
          <w:szCs w:val="18"/>
        </w:rPr>
      </w:pPr>
    </w:p>
    <w:p>
      <w:pPr>
        <w:spacing w:before="100" w:after="100" w:line="240" w:lineRule="exact"/>
        <w:rPr>
          <w:rFonts w:ascii="宋体" w:hAnsi="宋体" w:eastAsia="宋体" w:cs="宋体"/>
          <w:sz w:val="18"/>
          <w:szCs w:val="18"/>
        </w:rPr>
      </w:pPr>
      <w:r>
        <w:rPr>
          <w:rFonts w:ascii="宋体" w:hAnsi="宋体" w:eastAsia="宋体" w:cs="宋体"/>
          <w:sz w:val="18"/>
          <w:szCs w:val="18"/>
        </w:rPr>
        <w:t>在其他单位任职情况</w:t>
      </w:r>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7"/>
        <w:gridCol w:w="1606"/>
        <w:gridCol w:w="1606"/>
        <w:gridCol w:w="1606"/>
        <w:gridCol w:w="1606"/>
        <w:gridCol w:w="160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任职人员姓名</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在其他单位担任的职务</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任期起始日期</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任期终止日期</w:t>
            </w:r>
          </w:p>
        </w:tc>
        <w:tc>
          <w:tcPr>
            <w:tcW w:w="160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在其他单位是否领取报酬津贴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李建林</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江西三川集团鹰潭三川置业有限责任公司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2013年01月17日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李建林</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鹰潭三川水泵有限公司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2011年09月23日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李建林</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江西三川铜业有限公司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2012年06月18日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李建林</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鹰潭市龙虎山庄旅业有限公司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2016年12月13日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李建林</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江西三川节能股份有限公司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2016年09月26日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李建林</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江西广通投资有限公司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监事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2016年02月02日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李建林</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鹰潭市华弘企业管理有限责任公司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2020年09月09日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李强祖</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江西三川集团鹰潭三川置业有限责任公司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监事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2007年05月29日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李强祖</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中国移动物联网产业联盟</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秘书长</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2017年06月12日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李强祖</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甘肃兰银金融租赁股份有限公司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监事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2014年09月30日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李强祖</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江西三川埃尔斯特水表有限公司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副董事长</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2022年05月16日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宋财华</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中国计量协会水表工作委员会</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副秘书长</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2014年05月19日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宋财华</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江西省计量协会流量工作委员会</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副主任委员</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2013年01月01日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宋财华</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江西川仪三川智慧水务科技有限公司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2019年09月23日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宋财华</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苏州吾爱易达物联网有限公司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2020年04月24日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郭华平</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江西财经大学</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教授</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1993年01月01日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郭华平</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江西裕民银行股份有限公司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2020年03月12日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郭华平</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江西赣锋锂业股份有限公司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监事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2020年03月24日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2023年03月23日</w:t>
            </w: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郭华平</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山东博汇纸业股份有限公司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独立董事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2020年10月29日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2023年10月28日</w:t>
            </w: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郭华平</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江西海源复合材料科技股份有限公司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独立董事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2020年08月24日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2023年08月23日</w:t>
            </w: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93"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hint="eastAsia" w:ascii="宋体" w:hAnsi="宋体" w:eastAsia="宋体" w:cs="宋体"/>
                <w:sz w:val="18"/>
                <w:szCs w:val="18"/>
              </w:rPr>
              <w:t>郭华平</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广东嘉应制药股份有限公司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hint="eastAsia" w:ascii="宋体" w:hAnsi="宋体" w:eastAsia="宋体" w:cs="宋体"/>
                <w:sz w:val="18"/>
                <w:szCs w:val="18"/>
              </w:rPr>
              <w:t>独立董事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hint="eastAsia" w:ascii="宋体" w:hAnsi="宋体" w:eastAsia="宋体" w:cs="宋体"/>
                <w:sz w:val="18"/>
                <w:szCs w:val="18"/>
              </w:rPr>
              <w:t>2</w:t>
            </w:r>
            <w:r>
              <w:rPr>
                <w:rFonts w:ascii="宋体" w:hAnsi="宋体" w:eastAsia="宋体" w:cs="宋体"/>
                <w:sz w:val="18"/>
                <w:szCs w:val="18"/>
              </w:rPr>
              <w:t>021年 05月 31日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hint="eastAsia" w:ascii="宋体" w:hAnsi="宋体" w:eastAsia="宋体" w:cs="宋体"/>
                <w:sz w:val="18"/>
                <w:szCs w:val="18"/>
              </w:rPr>
              <w:t>2</w:t>
            </w:r>
            <w:r>
              <w:rPr>
                <w:rFonts w:ascii="宋体" w:hAnsi="宋体" w:eastAsia="宋体" w:cs="宋体"/>
                <w:sz w:val="18"/>
                <w:szCs w:val="18"/>
              </w:rPr>
              <w:t>024年 08月 02日</w:t>
            </w: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93"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hint="eastAsia" w:ascii="宋体" w:hAnsi="宋体" w:eastAsia="宋体" w:cs="宋体"/>
                <w:sz w:val="18"/>
                <w:szCs w:val="18"/>
              </w:rPr>
              <w:t>郭华平</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hint="eastAsia" w:ascii="宋体" w:hAnsi="宋体" w:eastAsia="宋体" w:cs="宋体"/>
                <w:sz w:val="18"/>
                <w:szCs w:val="18"/>
              </w:rPr>
              <w:t>江西百胜智能科技股份有限公司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hint="eastAsia" w:ascii="宋体" w:hAnsi="宋体" w:eastAsia="宋体" w:cs="宋体"/>
                <w:sz w:val="18"/>
                <w:szCs w:val="18"/>
              </w:rPr>
              <w:t>独立董事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hint="eastAsia" w:ascii="宋体" w:hAnsi="宋体" w:eastAsia="宋体" w:cs="宋体"/>
                <w:sz w:val="18"/>
                <w:szCs w:val="18"/>
              </w:rPr>
              <w:t>2022年6月10日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hint="eastAsia" w:ascii="宋体" w:hAnsi="宋体" w:eastAsia="宋体" w:cs="宋体"/>
                <w:sz w:val="18"/>
                <w:szCs w:val="18"/>
              </w:rPr>
              <w:t>2025年6月9日</w:t>
            </w: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郭华平</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江西汇仁堂药品连锁股份有限公司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2020年04月23日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曹元坤</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江西财经大学</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教授</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1992年08月01日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童保华</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鹰潭市龙虎山庄旅业有限公司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董事长</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2016年12月13日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童保华</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江西三川集团鹰潭三川置业有限责任公司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监事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2007年05月29日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童保华</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鹰潭律鑫贸易有限公司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执行董事、总经理</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2020年06月02日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童保华</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鹰潭市华弘企业管理有限责任公司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监事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2020年09月09日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童保华</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江西龙虎山工惠疗养院有限公司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执行董事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2020年09月14日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童保华</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鹰潭市三川实业发展有限公司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2022年02月11日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童为民</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赣州川益科技有限公司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2022年06月01日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童为民</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江西三川埃尔斯特水表有限公司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监事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2011年05月18日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刘建华</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北京天川智联科技有限责任公司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监事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2021年08月17日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刘建华</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山西万家寨三合智慧科技有限公司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监事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2021年05月27日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刘建华</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江西川仪三川智慧水务科技有限公司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监事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2022年10月20日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李静</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鹰潭市三川实业发展有限公司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监事</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2022年02月11日</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在其他单位任职情况的说明</w:t>
            </w:r>
          </w:p>
        </w:tc>
        <w:tc>
          <w:tcPr>
            <w:tcW w:w="8032" w:type="dxa"/>
            <w:gridSpan w:val="5"/>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鹰潭三川置业有限责任公司、鹰潭三川水泵有限公司、江西三川铜业有限公司、鹰潭市龙虎山庄旅业有限公司、江西三川节能股份有限公司、鹰潭市三川实业发展有限公司均为公司控股股东三川集团的控股或参股公司。</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公司现任及报告期内离任董事、监事和高级管理人员近三年证券监管机构处罚的情况</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pStyle w:val="4"/>
        <w:spacing w:line="280" w:lineRule="exact"/>
        <w:jc w:val="left"/>
        <w:rPr>
          <w:rFonts w:ascii="宋体" w:hAnsi="宋体" w:cs="宋体"/>
          <w:b/>
          <w:bCs/>
        </w:rPr>
      </w:pPr>
      <w:bookmarkStart w:id="64" w:name="_Toc988951"/>
    </w:p>
    <w:p>
      <w:pPr>
        <w:pStyle w:val="4"/>
        <w:spacing w:line="280" w:lineRule="exact"/>
        <w:jc w:val="left"/>
        <w:rPr>
          <w:rFonts w:ascii="宋体" w:hAnsi="宋体" w:cs="宋体"/>
          <w:b/>
          <w:bCs/>
        </w:rPr>
      </w:pPr>
      <w:r>
        <w:rPr>
          <w:rFonts w:ascii="宋体" w:hAnsi="宋体" w:cs="宋体"/>
          <w:b/>
          <w:bCs/>
        </w:rPr>
        <w:t>3、董事、监事、高级管理人员报酬情况</w:t>
      </w:r>
      <w:bookmarkEnd w:id="64"/>
    </w:p>
    <w:p>
      <w:pPr>
        <w:spacing w:before="100" w:after="100" w:line="240" w:lineRule="exact"/>
        <w:rPr>
          <w:rFonts w:ascii="宋体" w:hAnsi="宋体" w:eastAsia="宋体" w:cs="宋体"/>
          <w:sz w:val="18"/>
          <w:szCs w:val="18"/>
        </w:rPr>
      </w:pPr>
      <w:r>
        <w:rPr>
          <w:rFonts w:ascii="宋体" w:hAnsi="宋体" w:eastAsia="宋体" w:cs="宋体"/>
          <w:sz w:val="18"/>
          <w:szCs w:val="18"/>
        </w:rPr>
        <w:t>董事、监事、高级管理人员报酬的决策程序、确定依据、实际支付情况</w:t>
      </w:r>
    </w:p>
    <w:tbl>
      <w:tblPr>
        <w:tblStyle w:val="13"/>
        <w:tblW w:w="0" w:type="auto"/>
        <w:tblInd w:w="0" w:type="dxa"/>
        <w:tblLayout w:type="autofit"/>
        <w:tblCellMar>
          <w:top w:w="15" w:type="dxa"/>
          <w:left w:w="15" w:type="dxa"/>
          <w:bottom w:w="15" w:type="dxa"/>
          <w:right w:w="15" w:type="dxa"/>
        </w:tblCellMar>
      </w:tblPr>
      <w:tblGrid>
        <w:gridCol w:w="4260"/>
        <w:gridCol w:w="5308"/>
      </w:tblGrid>
      <w:tr>
        <w:tblPrEx>
          <w:tblCellMar>
            <w:top w:w="15" w:type="dxa"/>
            <w:left w:w="15" w:type="dxa"/>
            <w:bottom w:w="15" w:type="dxa"/>
            <w:right w:w="15" w:type="dxa"/>
          </w:tblCellMar>
        </w:tblPrEx>
        <w:trPr>
          <w:trHeight w:val="1133" w:hRule="atLeast"/>
        </w:trPr>
        <w:tc>
          <w:tcPr>
            <w:tcW w:w="4260" w:type="dxa"/>
            <w:tcBorders>
              <w:top w:val="single" w:color="auto" w:sz="8" w:space="0"/>
              <w:left w:val="single" w:color="auto" w:sz="8" w:space="0"/>
              <w:bottom w:val="single" w:color="auto" w:sz="8" w:space="0"/>
              <w:right w:val="single" w:color="auto" w:sz="8" w:space="0"/>
            </w:tcBorders>
            <w:shd w:val="clear" w:color="auto" w:fill="D3D3D3"/>
            <w:tcMar>
              <w:top w:w="10" w:type="dxa"/>
              <w:left w:w="10" w:type="dxa"/>
              <w:bottom w:w="10" w:type="dxa"/>
              <w:right w:w="10" w:type="dxa"/>
            </w:tcMar>
            <w:vAlign w:val="center"/>
          </w:tcPr>
          <w:p>
            <w:pPr>
              <w:pStyle w:val="11"/>
              <w:spacing w:before="40" w:beforeAutospacing="0" w:after="40" w:afterAutospacing="0"/>
              <w:jc w:val="both"/>
              <w:rPr>
                <w:rFonts w:cs="Times New Roman"/>
                <w:sz w:val="18"/>
                <w:szCs w:val="18"/>
              </w:rPr>
            </w:pPr>
            <w:r>
              <w:rPr>
                <w:rFonts w:hint="eastAsia" w:cs="Times New Roman"/>
                <w:sz w:val="18"/>
                <w:szCs w:val="18"/>
              </w:rPr>
              <w:t>董事、监事、高级管理人员报酬的决策程序</w:t>
            </w:r>
          </w:p>
        </w:tc>
        <w:tc>
          <w:tcPr>
            <w:tcW w:w="5308" w:type="dxa"/>
            <w:tcBorders>
              <w:top w:val="single" w:color="auto" w:sz="8" w:space="0"/>
              <w:left w:val="nil"/>
              <w:bottom w:val="single" w:color="auto" w:sz="8" w:space="0"/>
              <w:right w:val="single" w:color="auto" w:sz="8" w:space="0"/>
            </w:tcBorders>
            <w:shd w:val="clear" w:color="auto" w:fill="FFFFFF"/>
            <w:tcMar>
              <w:top w:w="10" w:type="dxa"/>
              <w:left w:w="10" w:type="dxa"/>
              <w:bottom w:w="10" w:type="dxa"/>
              <w:right w:w="10" w:type="dxa"/>
            </w:tcMar>
            <w:vAlign w:val="center"/>
          </w:tcPr>
          <w:p>
            <w:pPr>
              <w:pStyle w:val="11"/>
              <w:spacing w:before="40" w:beforeAutospacing="0" w:after="40" w:afterAutospacing="0"/>
              <w:jc w:val="both"/>
              <w:rPr>
                <w:rFonts w:cs="Times New Roman"/>
                <w:sz w:val="18"/>
                <w:szCs w:val="18"/>
              </w:rPr>
            </w:pPr>
            <w:r>
              <w:rPr>
                <w:rFonts w:hint="eastAsia" w:cs="Times New Roman"/>
                <w:sz w:val="18"/>
                <w:szCs w:val="18"/>
              </w:rPr>
              <w:t>公司董事、监事、高级管理人员报酬依据公司制定的《管理人员薪酬方案》及《年度绩效考核方案》确定。上述方案由公司董事会审议通过，并授权总经理根据公司运营情况和所在地平均社会工资水平每年进行修正。</w:t>
            </w:r>
          </w:p>
        </w:tc>
      </w:tr>
      <w:tr>
        <w:tblPrEx>
          <w:tblCellMar>
            <w:top w:w="15" w:type="dxa"/>
            <w:left w:w="15" w:type="dxa"/>
            <w:bottom w:w="15" w:type="dxa"/>
            <w:right w:w="15" w:type="dxa"/>
          </w:tblCellMar>
        </w:tblPrEx>
        <w:trPr>
          <w:trHeight w:val="503" w:hRule="atLeast"/>
        </w:trPr>
        <w:tc>
          <w:tcPr>
            <w:tcW w:w="4260" w:type="dxa"/>
            <w:tcBorders>
              <w:top w:val="nil"/>
              <w:left w:val="single" w:color="auto" w:sz="8" w:space="0"/>
              <w:bottom w:val="single" w:color="auto" w:sz="8" w:space="0"/>
              <w:right w:val="single" w:color="auto" w:sz="8" w:space="0"/>
            </w:tcBorders>
            <w:shd w:val="clear" w:color="auto" w:fill="D3D3D3"/>
            <w:tcMar>
              <w:top w:w="10" w:type="dxa"/>
              <w:left w:w="10" w:type="dxa"/>
              <w:bottom w:w="10" w:type="dxa"/>
              <w:right w:w="10" w:type="dxa"/>
            </w:tcMar>
            <w:vAlign w:val="center"/>
          </w:tcPr>
          <w:p>
            <w:pPr>
              <w:pStyle w:val="11"/>
              <w:spacing w:before="40" w:beforeAutospacing="0" w:after="40" w:afterAutospacing="0"/>
              <w:jc w:val="both"/>
              <w:rPr>
                <w:rFonts w:cs="Times New Roman"/>
                <w:sz w:val="18"/>
                <w:szCs w:val="18"/>
              </w:rPr>
            </w:pPr>
            <w:r>
              <w:rPr>
                <w:rFonts w:hint="eastAsia" w:cs="Times New Roman"/>
                <w:sz w:val="18"/>
                <w:szCs w:val="18"/>
              </w:rPr>
              <w:t>董事、监事、高级管理人员报酬确定依据</w:t>
            </w:r>
          </w:p>
        </w:tc>
        <w:tc>
          <w:tcPr>
            <w:tcW w:w="5308" w:type="dxa"/>
            <w:tcBorders>
              <w:top w:val="nil"/>
              <w:left w:val="nil"/>
              <w:bottom w:val="single" w:color="auto" w:sz="8" w:space="0"/>
              <w:right w:val="single" w:color="auto" w:sz="8" w:space="0"/>
            </w:tcBorders>
            <w:shd w:val="clear" w:color="auto" w:fill="FFFFFF"/>
            <w:tcMar>
              <w:top w:w="10" w:type="dxa"/>
              <w:left w:w="10" w:type="dxa"/>
              <w:bottom w:w="10" w:type="dxa"/>
              <w:right w:w="10" w:type="dxa"/>
            </w:tcMar>
            <w:vAlign w:val="center"/>
          </w:tcPr>
          <w:p>
            <w:pPr>
              <w:pStyle w:val="11"/>
              <w:spacing w:before="40" w:beforeAutospacing="0" w:after="40" w:afterAutospacing="0"/>
              <w:jc w:val="both"/>
              <w:rPr>
                <w:rFonts w:cs="Times New Roman"/>
                <w:sz w:val="18"/>
                <w:szCs w:val="18"/>
              </w:rPr>
            </w:pPr>
            <w:r>
              <w:rPr>
                <w:rFonts w:hint="eastAsia" w:cs="Times New Roman"/>
                <w:sz w:val="18"/>
                <w:szCs w:val="18"/>
              </w:rPr>
              <w:t>年度绩效考评。</w:t>
            </w:r>
          </w:p>
        </w:tc>
      </w:tr>
      <w:tr>
        <w:tblPrEx>
          <w:tblCellMar>
            <w:top w:w="15" w:type="dxa"/>
            <w:left w:w="15" w:type="dxa"/>
            <w:bottom w:w="15" w:type="dxa"/>
            <w:right w:w="15" w:type="dxa"/>
          </w:tblCellMar>
        </w:tblPrEx>
        <w:trPr>
          <w:trHeight w:val="726" w:hRule="atLeast"/>
        </w:trPr>
        <w:tc>
          <w:tcPr>
            <w:tcW w:w="4260" w:type="dxa"/>
            <w:tcBorders>
              <w:top w:val="nil"/>
              <w:left w:val="single" w:color="auto" w:sz="8" w:space="0"/>
              <w:bottom w:val="single" w:color="auto" w:sz="8" w:space="0"/>
              <w:right w:val="single" w:color="auto" w:sz="8" w:space="0"/>
            </w:tcBorders>
            <w:shd w:val="clear" w:color="auto" w:fill="D3D3D3"/>
            <w:tcMar>
              <w:top w:w="10" w:type="dxa"/>
              <w:left w:w="10" w:type="dxa"/>
              <w:bottom w:w="10" w:type="dxa"/>
              <w:right w:w="10" w:type="dxa"/>
            </w:tcMar>
            <w:vAlign w:val="center"/>
          </w:tcPr>
          <w:p>
            <w:pPr>
              <w:pStyle w:val="11"/>
              <w:spacing w:before="40" w:beforeAutospacing="0" w:after="40" w:afterAutospacing="0"/>
              <w:jc w:val="both"/>
              <w:rPr>
                <w:rFonts w:cs="Times New Roman"/>
                <w:sz w:val="18"/>
                <w:szCs w:val="18"/>
              </w:rPr>
            </w:pPr>
            <w:r>
              <w:rPr>
                <w:rFonts w:hint="eastAsia" w:cs="Times New Roman"/>
                <w:sz w:val="18"/>
                <w:szCs w:val="18"/>
              </w:rPr>
              <w:t>董事、监事和高级管理人员报酬的实际支付情况</w:t>
            </w:r>
          </w:p>
        </w:tc>
        <w:tc>
          <w:tcPr>
            <w:tcW w:w="5308" w:type="dxa"/>
            <w:tcBorders>
              <w:top w:val="nil"/>
              <w:left w:val="nil"/>
              <w:bottom w:val="single" w:color="auto" w:sz="8" w:space="0"/>
              <w:right w:val="single" w:color="auto" w:sz="8" w:space="0"/>
            </w:tcBorders>
            <w:shd w:val="clear" w:color="auto" w:fill="FFFFFF"/>
            <w:tcMar>
              <w:top w:w="10" w:type="dxa"/>
              <w:left w:w="10" w:type="dxa"/>
              <w:bottom w:w="10" w:type="dxa"/>
              <w:right w:w="10" w:type="dxa"/>
            </w:tcMar>
            <w:vAlign w:val="center"/>
          </w:tcPr>
          <w:p>
            <w:pPr>
              <w:pStyle w:val="11"/>
              <w:spacing w:before="40" w:beforeAutospacing="0" w:after="40" w:afterAutospacing="0"/>
              <w:jc w:val="both"/>
              <w:rPr>
                <w:rFonts w:cs="Times New Roman"/>
                <w:sz w:val="18"/>
                <w:szCs w:val="18"/>
              </w:rPr>
            </w:pPr>
            <w:r>
              <w:rPr>
                <w:rFonts w:hint="eastAsia" w:cs="Times New Roman"/>
                <w:sz w:val="18"/>
                <w:szCs w:val="18"/>
              </w:rPr>
              <w:t>工资、津贴按月发放，年度奖励延后发放。</w:t>
            </w:r>
            <w:r>
              <w:rPr>
                <w:rFonts w:ascii="Times New Roman" w:hAnsi="Times New Roman" w:cs="Times New Roman"/>
                <w:sz w:val="18"/>
                <w:szCs w:val="18"/>
              </w:rPr>
              <w:t>2022</w:t>
            </w:r>
            <w:r>
              <w:rPr>
                <w:rFonts w:hint="eastAsia" w:cs="Times New Roman"/>
                <w:sz w:val="18"/>
                <w:szCs w:val="18"/>
              </w:rPr>
              <w:t>年度公司实际支付董事、监事、高级管理人员报酬共计321.79万元。</w:t>
            </w:r>
          </w:p>
        </w:tc>
      </w:tr>
    </w:tbl>
    <w:p/>
    <w:p>
      <w:pPr>
        <w:spacing w:before="100" w:after="100" w:line="240" w:lineRule="exact"/>
        <w:rPr>
          <w:rFonts w:ascii="宋体" w:hAnsi="宋体" w:eastAsia="宋体" w:cs="宋体"/>
          <w:sz w:val="18"/>
          <w:szCs w:val="18"/>
        </w:rPr>
      </w:pPr>
    </w:p>
    <w:p>
      <w:pPr>
        <w:spacing w:before="100" w:after="100" w:line="240" w:lineRule="exact"/>
        <w:rPr>
          <w:rFonts w:ascii="宋体" w:hAnsi="宋体" w:eastAsia="宋体" w:cs="宋体"/>
          <w:sz w:val="18"/>
          <w:szCs w:val="18"/>
        </w:rPr>
      </w:pPr>
      <w:r>
        <w:rPr>
          <w:rFonts w:ascii="宋体" w:hAnsi="宋体" w:eastAsia="宋体" w:cs="宋体"/>
          <w:sz w:val="18"/>
          <w:szCs w:val="18"/>
        </w:rPr>
        <w:t>公司报告期内董事、监事和高级管理人员报酬情况</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单位：万元</w:t>
      </w:r>
    </w:p>
    <w:tbl>
      <w:tblPr>
        <w:tblStyle w:val="13"/>
        <w:tblW w:w="4997"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407"/>
        <w:gridCol w:w="1779"/>
        <w:gridCol w:w="1033"/>
        <w:gridCol w:w="1407"/>
        <w:gridCol w:w="1407"/>
        <w:gridCol w:w="1407"/>
        <w:gridCol w:w="140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14"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姓名</w:t>
            </w:r>
          </w:p>
        </w:tc>
        <w:tc>
          <w:tcPr>
            <w:tcW w:w="903"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职务</w:t>
            </w:r>
          </w:p>
        </w:tc>
        <w:tc>
          <w:tcPr>
            <w:tcW w:w="524"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性别</w:t>
            </w:r>
          </w:p>
        </w:tc>
        <w:tc>
          <w:tcPr>
            <w:tcW w:w="714"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年龄</w:t>
            </w:r>
          </w:p>
        </w:tc>
        <w:tc>
          <w:tcPr>
            <w:tcW w:w="714"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任职状态</w:t>
            </w:r>
          </w:p>
        </w:tc>
        <w:tc>
          <w:tcPr>
            <w:tcW w:w="714"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从公司获得的税前报酬总额</w:t>
            </w:r>
          </w:p>
        </w:tc>
        <w:tc>
          <w:tcPr>
            <w:tcW w:w="714"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是否在公司关联方获取报酬</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10" w:hRule="atLeast"/>
        </w:trPr>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李建林</w:t>
            </w:r>
          </w:p>
        </w:tc>
        <w:tc>
          <w:tcPr>
            <w:tcW w:w="903"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董事长</w:t>
            </w:r>
          </w:p>
        </w:tc>
        <w:tc>
          <w:tcPr>
            <w:tcW w:w="52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男</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66</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现任</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10" w:hRule="atLeast"/>
        </w:trPr>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李强祖</w:t>
            </w:r>
          </w:p>
        </w:tc>
        <w:tc>
          <w:tcPr>
            <w:tcW w:w="903"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董事、总经理</w:t>
            </w:r>
          </w:p>
        </w:tc>
        <w:tc>
          <w:tcPr>
            <w:tcW w:w="52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男</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45</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现任</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59.25</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5" w:hRule="atLeast"/>
        </w:trPr>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宋财华</w:t>
            </w:r>
          </w:p>
        </w:tc>
        <w:tc>
          <w:tcPr>
            <w:tcW w:w="903"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董事、副总经理</w:t>
            </w:r>
          </w:p>
        </w:tc>
        <w:tc>
          <w:tcPr>
            <w:tcW w:w="52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男</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52</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现任</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20.47</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10" w:hRule="atLeast"/>
        </w:trPr>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吴雪松</w:t>
            </w:r>
          </w:p>
        </w:tc>
        <w:tc>
          <w:tcPr>
            <w:tcW w:w="903"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董事、副总经理</w:t>
            </w:r>
          </w:p>
        </w:tc>
        <w:tc>
          <w:tcPr>
            <w:tcW w:w="52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男</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52</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离任</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41.27</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70" w:hRule="atLeast"/>
        </w:trPr>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左富强</w:t>
            </w:r>
          </w:p>
        </w:tc>
        <w:tc>
          <w:tcPr>
            <w:tcW w:w="903"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董事</w:t>
            </w:r>
          </w:p>
        </w:tc>
        <w:tc>
          <w:tcPr>
            <w:tcW w:w="52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男</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40</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现任</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26.91</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5" w:hRule="atLeast"/>
        </w:trPr>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童为民</w:t>
            </w:r>
          </w:p>
        </w:tc>
        <w:tc>
          <w:tcPr>
            <w:tcW w:w="903"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董事、副总经理</w:t>
            </w:r>
          </w:p>
        </w:tc>
        <w:tc>
          <w:tcPr>
            <w:tcW w:w="52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男</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52</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现任</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58.56</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5" w:hRule="atLeast"/>
        </w:trPr>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郭华平</w:t>
            </w:r>
          </w:p>
        </w:tc>
        <w:tc>
          <w:tcPr>
            <w:tcW w:w="903"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独立董事</w:t>
            </w:r>
          </w:p>
        </w:tc>
        <w:tc>
          <w:tcPr>
            <w:tcW w:w="52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男</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59</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现任</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李旭</w:t>
            </w:r>
          </w:p>
        </w:tc>
        <w:tc>
          <w:tcPr>
            <w:tcW w:w="903"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独立董事</w:t>
            </w:r>
          </w:p>
        </w:tc>
        <w:tc>
          <w:tcPr>
            <w:tcW w:w="52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男</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64</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现任</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10" w:hRule="atLeast"/>
        </w:trPr>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隋军</w:t>
            </w:r>
          </w:p>
        </w:tc>
        <w:tc>
          <w:tcPr>
            <w:tcW w:w="903"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独立董事</w:t>
            </w:r>
          </w:p>
        </w:tc>
        <w:tc>
          <w:tcPr>
            <w:tcW w:w="52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男</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60</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离任</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曹元坤</w:t>
            </w:r>
          </w:p>
        </w:tc>
        <w:tc>
          <w:tcPr>
            <w:tcW w:w="903"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独立董事</w:t>
            </w:r>
          </w:p>
        </w:tc>
        <w:tc>
          <w:tcPr>
            <w:tcW w:w="52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男</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56</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现任</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50" w:hRule="atLeast"/>
        </w:trPr>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童保华</w:t>
            </w:r>
          </w:p>
        </w:tc>
        <w:tc>
          <w:tcPr>
            <w:tcW w:w="903"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监事会主席</w:t>
            </w:r>
          </w:p>
        </w:tc>
        <w:tc>
          <w:tcPr>
            <w:tcW w:w="52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男</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66</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现任</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10" w:hRule="atLeast"/>
        </w:trPr>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李静</w:t>
            </w:r>
          </w:p>
        </w:tc>
        <w:tc>
          <w:tcPr>
            <w:tcW w:w="903"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监事</w:t>
            </w:r>
          </w:p>
        </w:tc>
        <w:tc>
          <w:tcPr>
            <w:tcW w:w="52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女</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38</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现任</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14.56</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50" w:hRule="atLeast"/>
        </w:trPr>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刘建华</w:t>
            </w:r>
          </w:p>
        </w:tc>
        <w:tc>
          <w:tcPr>
            <w:tcW w:w="903"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监事</w:t>
            </w:r>
          </w:p>
        </w:tc>
        <w:tc>
          <w:tcPr>
            <w:tcW w:w="52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男</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40</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现任</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24.18</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倪国强</w:t>
            </w:r>
          </w:p>
        </w:tc>
        <w:tc>
          <w:tcPr>
            <w:tcW w:w="903"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董事会秘书、副总经理</w:t>
            </w:r>
          </w:p>
        </w:tc>
        <w:tc>
          <w:tcPr>
            <w:tcW w:w="52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男</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57</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现任</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54.39</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14"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c>
          <w:tcPr>
            <w:tcW w:w="903"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524"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714"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714"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71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321.79</w:t>
            </w:r>
          </w:p>
        </w:tc>
        <w:tc>
          <w:tcPr>
            <w:tcW w:w="714"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bl>
    <w:p>
      <w:bookmarkStart w:id="65" w:name="_Toc988952"/>
    </w:p>
    <w:p>
      <w:pPr>
        <w:pStyle w:val="3"/>
        <w:spacing w:before="300" w:after="300" w:line="320" w:lineRule="exact"/>
        <w:rPr>
          <w:rFonts w:ascii="宋体" w:hAnsi="宋体" w:eastAsia="宋体" w:cs="宋体"/>
          <w:b/>
          <w:bCs/>
          <w:sz w:val="24"/>
          <w:szCs w:val="24"/>
        </w:rPr>
      </w:pPr>
      <w:r>
        <w:rPr>
          <w:rFonts w:ascii="宋体" w:hAnsi="宋体" w:eastAsia="宋体" w:cs="宋体"/>
          <w:b/>
          <w:bCs/>
          <w:sz w:val="24"/>
          <w:szCs w:val="24"/>
        </w:rPr>
        <w:t>八、报告期内董事履行职责的情况</w:t>
      </w:r>
      <w:bookmarkEnd w:id="65"/>
    </w:p>
    <w:p>
      <w:pPr>
        <w:pStyle w:val="4"/>
        <w:spacing w:line="280" w:lineRule="exact"/>
        <w:jc w:val="left"/>
        <w:rPr>
          <w:rFonts w:ascii="宋体" w:hAnsi="宋体" w:cs="宋体"/>
          <w:b/>
          <w:bCs/>
        </w:rPr>
      </w:pPr>
      <w:bookmarkStart w:id="66" w:name="_Toc988953"/>
      <w:r>
        <w:rPr>
          <w:rFonts w:ascii="宋体" w:hAnsi="宋体" w:cs="宋体"/>
          <w:b/>
          <w:bCs/>
        </w:rPr>
        <w:t>1、本报告期董事会情况</w:t>
      </w:r>
      <w:bookmarkEnd w:id="66"/>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843"/>
        <w:gridCol w:w="1701"/>
        <w:gridCol w:w="1701"/>
        <w:gridCol w:w="439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8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会议届次</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召开日期</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披露日期</w:t>
            </w:r>
          </w:p>
        </w:tc>
        <w:tc>
          <w:tcPr>
            <w:tcW w:w="43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会议决议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40" w:hRule="atLeast"/>
        </w:trPr>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第六届董事会第二十次会议</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2022年03月28日</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2022年03月29日</w:t>
            </w:r>
          </w:p>
        </w:tc>
        <w:tc>
          <w:tcPr>
            <w:tcW w:w="439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议通过《2021年度董事会工作报告》《2021年度总经理工作报告》《2021年度财务决算报告》、《2021年年度报告》及其摘要、《2021年度利润分配预案》《2021年度内部控制自我评价报告》《关于确认2021年度日常关联交易并预计2022年度日常关联交易的议案》《关于续聘会计师事务所的议案》《关于变更会计政策的议案》《关于计提信用减值及资产减值损失的议案》《关于注销控股子公司上海三川爱水科技有限公司的议案》《关于补选曹元坤先生为公司独立董事的议案》《关于召开2021年度股东大会的议案》</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25" w:hRule="atLeast"/>
        </w:trPr>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第六届董事会第二十一次会议</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2022年04月28日</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2022年04月29日</w:t>
            </w:r>
          </w:p>
        </w:tc>
        <w:tc>
          <w:tcPr>
            <w:tcW w:w="439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审议通过《2022年第一季度报告》《关于对外投资设立龙南集盛科技有限公司的议案》</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500" w:hRule="atLeast"/>
        </w:trPr>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第六届董事会第二十二次会议</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2022年06月28日</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2022年06月29日</w:t>
            </w:r>
          </w:p>
        </w:tc>
        <w:tc>
          <w:tcPr>
            <w:tcW w:w="439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议通过《关于投资年产500万只水表智能工厂建设项目的议案》《关于受让赣州天和永磁材料有限公司67%股权暨关联交易的议案》《关于放弃参股公司股权转让优先受让权的议案》《关于补选左富强先生为公司非独立董事的议案》《关于修改〈公司章程〉的议案》《关于召开2022年第一次临时股东大会的议案》</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55" w:hRule="atLeast"/>
        </w:trPr>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第六届董事会第二十三次会议</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2022年08月05日</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2022年08月09日</w:t>
            </w:r>
          </w:p>
        </w:tc>
        <w:tc>
          <w:tcPr>
            <w:tcW w:w="439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审议通过《关于设立赣州川宇国际贸易有限公司的议案》</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15" w:hRule="atLeast"/>
        </w:trPr>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第六届董事会第二十四次会议</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2022年08月26日</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2022年08月27日</w:t>
            </w:r>
          </w:p>
        </w:tc>
        <w:tc>
          <w:tcPr>
            <w:tcW w:w="439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审议通过《2022年半年度报告》及其摘要</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95" w:hRule="atLeast"/>
        </w:trPr>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第六届董事会第二十五次会议</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2022年10月25日</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2022年10月26日</w:t>
            </w:r>
          </w:p>
        </w:tc>
        <w:tc>
          <w:tcPr>
            <w:tcW w:w="439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审议通过《2022年第三季度报告》《关于对外投资设立全资子公司的议案》《关于与中旷建设集团有限公司签订建设工程施工合同暨关联交易的议案》</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00" w:hRule="atLeast"/>
        </w:trPr>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第六届董事会第二十六次会议</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2022年11月11日</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2022年11月12日</w:t>
            </w:r>
          </w:p>
        </w:tc>
        <w:tc>
          <w:tcPr>
            <w:tcW w:w="439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审议通过《关于天和永磁实施年产3000吨稀土氧化物二次资源综合利用技术改造项目的议案》《关于为控股子公司天和永磁提供贷款担保的议案》《关于召开2022年第二次临时股东大会的议案</w:t>
            </w:r>
          </w:p>
        </w:tc>
      </w:tr>
    </w:tbl>
    <w:p>
      <w:pPr>
        <w:pStyle w:val="4"/>
        <w:spacing w:line="280" w:lineRule="exact"/>
        <w:jc w:val="left"/>
        <w:rPr>
          <w:rFonts w:ascii="宋体" w:hAnsi="宋体" w:cs="宋体"/>
          <w:b/>
          <w:bCs/>
        </w:rPr>
      </w:pPr>
      <w:bookmarkStart w:id="67" w:name="_Toc988954"/>
      <w:r>
        <w:rPr>
          <w:rFonts w:ascii="宋体" w:hAnsi="宋体" w:cs="宋体"/>
          <w:b/>
          <w:bCs/>
        </w:rPr>
        <w:t>2、董事出席董事会及股东大会的情况</w:t>
      </w:r>
      <w:bookmarkEnd w:id="67"/>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04"/>
        <w:gridCol w:w="1205"/>
        <w:gridCol w:w="1205"/>
        <w:gridCol w:w="1205"/>
        <w:gridCol w:w="1205"/>
        <w:gridCol w:w="1205"/>
        <w:gridCol w:w="1205"/>
        <w:gridCol w:w="120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9639" w:type="dxa"/>
            <w:gridSpan w:val="8"/>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董事出席董事会及股东大会的情况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董事姓名</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本报告期应参加董事会次数</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现场出席董事会次数</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以通讯方式参加董事会次数</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委托出席董事会次数</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缺席董事会次数</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是否连续两次未亲自参加董事会会议</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出席股东大会次数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李建林</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李强祖</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宋财华</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吴雪松</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左富强</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童为民</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郭华平</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李旭</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隋军</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曹元坤</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否</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连续两次未亲自出席董事会的说明</w:t>
      </w:r>
    </w:p>
    <w:p>
      <w:pPr>
        <w:pStyle w:val="4"/>
        <w:spacing w:line="280" w:lineRule="exact"/>
        <w:jc w:val="left"/>
        <w:rPr>
          <w:rFonts w:ascii="宋体" w:hAnsi="宋体" w:cs="宋体"/>
          <w:b/>
          <w:bCs/>
        </w:rPr>
      </w:pPr>
      <w:bookmarkStart w:id="68" w:name="_Toc988955"/>
      <w:r>
        <w:rPr>
          <w:rFonts w:ascii="宋体" w:hAnsi="宋体" w:cs="宋体"/>
          <w:b/>
          <w:bCs/>
        </w:rPr>
        <w:t>3、董事对公司有关事项提出异议的情况</w:t>
      </w:r>
      <w:bookmarkEnd w:id="68"/>
    </w:p>
    <w:p>
      <w:pPr>
        <w:spacing w:before="100" w:after="100" w:line="240" w:lineRule="exact"/>
        <w:rPr>
          <w:rFonts w:ascii="宋体" w:hAnsi="宋体" w:eastAsia="宋体" w:cs="宋体"/>
          <w:sz w:val="18"/>
          <w:szCs w:val="18"/>
        </w:rPr>
      </w:pPr>
      <w:r>
        <w:rPr>
          <w:rFonts w:ascii="宋体" w:hAnsi="宋体" w:eastAsia="宋体" w:cs="宋体"/>
          <w:sz w:val="18"/>
          <w:szCs w:val="18"/>
        </w:rPr>
        <w:t>董事对公司有关事项是否提出异议</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□是 </w:t>
      </w:r>
      <w:r>
        <w:rPr>
          <w:szCs w:val="24"/>
        </w:rPr>
        <w:t xml:space="preserve">√ </w:t>
      </w:r>
      <w:r>
        <w:rPr>
          <w:rFonts w:ascii="宋体" w:hAnsi="宋体" w:eastAsia="宋体" w:cs="宋体"/>
          <w:sz w:val="18"/>
          <w:szCs w:val="18"/>
        </w:rPr>
        <w:t>否</w:t>
      </w:r>
    </w:p>
    <w:p>
      <w:pPr>
        <w:spacing w:before="40" w:after="40" w:line="240" w:lineRule="exact"/>
        <w:rPr>
          <w:rFonts w:ascii="宋体" w:hAnsi="宋体" w:eastAsia="宋体" w:cs="宋体"/>
          <w:sz w:val="18"/>
          <w:szCs w:val="18"/>
        </w:rPr>
      </w:pPr>
      <w:r>
        <w:rPr>
          <w:rFonts w:ascii="宋体" w:hAnsi="宋体" w:eastAsia="宋体" w:cs="宋体"/>
          <w:sz w:val="18"/>
          <w:szCs w:val="18"/>
        </w:rPr>
        <w:t>报告期内董事对公司有关事项未提出异议。</w:t>
      </w:r>
    </w:p>
    <w:p>
      <w:pPr>
        <w:pStyle w:val="4"/>
        <w:spacing w:line="280" w:lineRule="exact"/>
        <w:jc w:val="left"/>
        <w:rPr>
          <w:rFonts w:ascii="宋体" w:hAnsi="宋体" w:cs="宋体"/>
          <w:b/>
          <w:bCs/>
        </w:rPr>
      </w:pPr>
      <w:bookmarkStart w:id="69" w:name="_Toc988956"/>
      <w:r>
        <w:rPr>
          <w:rFonts w:ascii="宋体" w:hAnsi="宋体" w:cs="宋体"/>
          <w:b/>
          <w:bCs/>
        </w:rPr>
        <w:t>4、董事履行职责的其他说明</w:t>
      </w:r>
      <w:bookmarkEnd w:id="69"/>
    </w:p>
    <w:p>
      <w:pPr>
        <w:spacing w:before="100" w:after="100" w:line="240" w:lineRule="exact"/>
        <w:rPr>
          <w:rFonts w:ascii="宋体" w:hAnsi="宋体" w:eastAsia="宋体" w:cs="宋体"/>
          <w:sz w:val="18"/>
          <w:szCs w:val="18"/>
        </w:rPr>
      </w:pPr>
      <w:r>
        <w:rPr>
          <w:rFonts w:ascii="宋体" w:hAnsi="宋体" w:eastAsia="宋体" w:cs="宋体"/>
          <w:sz w:val="18"/>
          <w:szCs w:val="18"/>
        </w:rPr>
        <w:t>董事对公司有关建议是否被采纳</w:t>
      </w:r>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是 □否</w:t>
      </w:r>
    </w:p>
    <w:p>
      <w:pPr>
        <w:spacing w:before="100" w:after="100" w:line="240" w:lineRule="exact"/>
        <w:rPr>
          <w:rFonts w:ascii="宋体" w:hAnsi="宋体" w:eastAsia="宋体" w:cs="宋体"/>
          <w:sz w:val="18"/>
          <w:szCs w:val="18"/>
        </w:rPr>
      </w:pPr>
      <w:r>
        <w:rPr>
          <w:rFonts w:ascii="宋体" w:hAnsi="宋体" w:eastAsia="宋体" w:cs="宋体"/>
          <w:sz w:val="18"/>
          <w:szCs w:val="18"/>
        </w:rPr>
        <w:t>董事对公司有关建议被采纳或未被采纳的说明</w:t>
      </w:r>
    </w:p>
    <w:p>
      <w:pPr>
        <w:pStyle w:val="11"/>
        <w:spacing w:before="40" w:beforeAutospacing="0" w:after="40" w:afterAutospacing="0"/>
        <w:ind w:firstLine="360" w:firstLineChars="200"/>
        <w:rPr>
          <w:sz w:val="18"/>
          <w:szCs w:val="18"/>
        </w:rPr>
      </w:pPr>
      <w:r>
        <w:rPr>
          <w:rFonts w:hint="eastAsia"/>
          <w:sz w:val="18"/>
          <w:szCs w:val="18"/>
        </w:rPr>
        <w:t>报告期内，公司董事恪尽职守、勤勉尽责，积极参加董事会和股东大会，履行《公司法》《证券法》《公司章程》和《独立董事工作细则》等所赋予的权利、职责与义务，高度关注公司生产经营及规范运作情况，对提交董事会审议的议案深入交流、建言献策，并监督决议实施进展，在公司生产经营、发展战略、主业布局及重大决策等方面，提出很多专业化和建设性意见，维护全体股东利益，公司对董事的相关建议均予以采纳。</w:t>
      </w:r>
    </w:p>
    <w:p>
      <w:pPr>
        <w:pStyle w:val="3"/>
        <w:spacing w:before="300" w:after="300" w:line="320" w:lineRule="exact"/>
        <w:rPr>
          <w:rFonts w:ascii="宋体" w:hAnsi="宋体" w:eastAsia="宋体" w:cs="宋体"/>
          <w:b/>
          <w:bCs/>
          <w:sz w:val="24"/>
          <w:szCs w:val="24"/>
        </w:rPr>
      </w:pPr>
      <w:bookmarkStart w:id="70" w:name="_Toc988957"/>
      <w:r>
        <w:rPr>
          <w:rFonts w:ascii="宋体" w:hAnsi="宋体" w:eastAsia="宋体" w:cs="宋体"/>
          <w:b/>
          <w:bCs/>
          <w:sz w:val="24"/>
          <w:szCs w:val="24"/>
        </w:rPr>
        <w:t>九、董事会下设专门委员会在报告期内的情况</w:t>
      </w:r>
      <w:bookmarkEnd w:id="70"/>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04"/>
        <w:gridCol w:w="1205"/>
        <w:gridCol w:w="993"/>
        <w:gridCol w:w="1134"/>
        <w:gridCol w:w="1276"/>
        <w:gridCol w:w="1417"/>
        <w:gridCol w:w="1418"/>
        <w:gridCol w:w="99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委员会名称</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成员情况</w:t>
            </w:r>
          </w:p>
        </w:tc>
        <w:tc>
          <w:tcPr>
            <w:tcW w:w="99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召开会议次数</w:t>
            </w:r>
          </w:p>
        </w:tc>
        <w:tc>
          <w:tcPr>
            <w:tcW w:w="113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召开日期</w:t>
            </w:r>
          </w:p>
        </w:tc>
        <w:tc>
          <w:tcPr>
            <w:tcW w:w="12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会议内容</w:t>
            </w:r>
          </w:p>
        </w:tc>
        <w:tc>
          <w:tcPr>
            <w:tcW w:w="14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提出的重要意见和建议</w:t>
            </w:r>
          </w:p>
        </w:tc>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其他履行职责的情况</w:t>
            </w:r>
          </w:p>
        </w:tc>
        <w:tc>
          <w:tcPr>
            <w:tcW w:w="99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异议事项具体情况（如有）</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80" w:hRule="atLeast"/>
        </w:trPr>
        <w:tc>
          <w:tcPr>
            <w:tcW w:w="120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审计委员会</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前两次会议成员均为郭华平、李旭，第三、四次会议成员为郭华平、李旭、左富强</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2022年03月22日</w:t>
            </w:r>
          </w:p>
        </w:tc>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审议2021年度审计报告、变更会计政策、内控自我评价报告等事项，并与审计及内审沟通</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审计委员会严格按照《审计委员会工作细则》及相关法律法规的规定对审议事项进行审议，并与审计机构充分进行沟通，一致同意相关议案</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与内审部门沟通2021年内审情况及2022年内审计划；与审计机构沟通2021年财务审计事项</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120" w:hRule="atLeast"/>
        </w:trPr>
        <w:tc>
          <w:tcPr>
            <w:tcW w:w="120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审计委员会</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前两次会议成员均为郭华平、李旭，第三、四次会议成员为郭华平、李旭、左富强</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2022年04月28日</w:t>
            </w:r>
          </w:p>
        </w:tc>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审议2022年第一季度报告</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对相关议案进行审议，并同意相关议案</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050" w:hRule="atLeast"/>
        </w:trPr>
        <w:tc>
          <w:tcPr>
            <w:tcW w:w="120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审计委员会</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前两次会议成员均为郭华平、李旭，第三、四次会议成员为郭华平、李旭、左富强</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2023年08月26日</w:t>
            </w:r>
          </w:p>
        </w:tc>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审议2022年半年度报告</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对相关议案进行审议，并同意相关议案</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与内审部门沟通2022年上半年内审情况及2022年下半年内审计划</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045" w:hRule="atLeast"/>
        </w:trPr>
        <w:tc>
          <w:tcPr>
            <w:tcW w:w="120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审计委员会</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前两次会议成员均为郭华平、李旭，第三、四次会议成员为郭华平、李旭、左富强</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2022年10月25日</w:t>
            </w:r>
          </w:p>
        </w:tc>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审议2022年第三季度报告</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对相关议案进行审议，并同意相关议案</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50" w:hRule="atLeast"/>
        </w:trPr>
        <w:tc>
          <w:tcPr>
            <w:tcW w:w="120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战略委员会</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会议成员为李建林、李强祖、曹元坤、童为民</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2022年06月16日</w:t>
            </w:r>
          </w:p>
        </w:tc>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关于受让赣州天和永磁67%股权事宜</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会议认为本次交易有利于公司将发展潜力较大的稀土资源回收利用业务注入公司业务体系，从而进一步优化公司的产业布局，增强公司的持续盈利能力和发展潜力。</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530" w:hRule="atLeast"/>
        </w:trPr>
        <w:tc>
          <w:tcPr>
            <w:tcW w:w="120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战略委员会</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会议成员为李建林、李强祖、曹元坤、童为民</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2022年12月01日</w:t>
            </w:r>
          </w:p>
        </w:tc>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公司发展战略探讨</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战略委员会就公司所处行业情况及未来可能面临的挑战做了深入调研和分析，为公司制定未来3-5年的发展战略提出了建设性意见。</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710" w:hRule="atLeast"/>
        </w:trPr>
        <w:tc>
          <w:tcPr>
            <w:tcW w:w="120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薪酬与考核委员会</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曹元坤、李强祖、郭华平</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2022年12月30日</w:t>
            </w:r>
          </w:p>
        </w:tc>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对公司经营层进行年度考评考核</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薪酬与考核委员会审查了公司高层管理人员的薪酬政策与考核方案，并按照绩效评价标准对公司高层人员的工作情况进行了客观评价、评估。</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55" w:hRule="atLeast"/>
        </w:trPr>
        <w:tc>
          <w:tcPr>
            <w:tcW w:w="120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提名委员会</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李旭、李建林、曹元坤</w:t>
            </w:r>
          </w:p>
        </w:tc>
        <w:tc>
          <w:tcPr>
            <w:tcW w:w="9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2022年06月10日</w:t>
            </w:r>
          </w:p>
        </w:tc>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补选公司非独立董事事宜</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提名委员会就补选公司非独立董事事宜进行了研讨，并对候选人资格进行了认真审查，一致同意提交董事会、股东大会审议</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r>
    </w:tbl>
    <w:p>
      <w:pPr>
        <w:pStyle w:val="3"/>
        <w:spacing w:before="300" w:after="300" w:line="320" w:lineRule="exact"/>
        <w:rPr>
          <w:rFonts w:ascii="宋体" w:hAnsi="宋体" w:eastAsia="宋体" w:cs="宋体"/>
          <w:b/>
          <w:bCs/>
          <w:sz w:val="24"/>
          <w:szCs w:val="24"/>
        </w:rPr>
      </w:pPr>
      <w:bookmarkStart w:id="71" w:name="_Toc988958"/>
      <w:r>
        <w:rPr>
          <w:rFonts w:ascii="宋体" w:hAnsi="宋体" w:eastAsia="宋体" w:cs="宋体"/>
          <w:b/>
          <w:bCs/>
          <w:sz w:val="24"/>
          <w:szCs w:val="24"/>
        </w:rPr>
        <w:t>十、监事会工作情况</w:t>
      </w:r>
      <w:bookmarkEnd w:id="71"/>
    </w:p>
    <w:p>
      <w:pPr>
        <w:spacing w:before="100" w:after="100" w:line="240" w:lineRule="exact"/>
        <w:rPr>
          <w:rFonts w:ascii="宋体" w:hAnsi="宋体" w:eastAsia="宋体" w:cs="宋体"/>
          <w:sz w:val="18"/>
          <w:szCs w:val="18"/>
        </w:rPr>
      </w:pPr>
      <w:r>
        <w:rPr>
          <w:rFonts w:ascii="宋体" w:hAnsi="宋体" w:eastAsia="宋体" w:cs="宋体"/>
          <w:sz w:val="18"/>
          <w:szCs w:val="18"/>
        </w:rPr>
        <w:t>监事会在报告期内的监督活动中发现公司是否存在风险</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□是 </w:t>
      </w:r>
      <w:r>
        <w:rPr>
          <w:szCs w:val="24"/>
        </w:rPr>
        <w:t xml:space="preserve">√ </w:t>
      </w:r>
      <w:r>
        <w:rPr>
          <w:rFonts w:ascii="宋体" w:hAnsi="宋体" w:eastAsia="宋体" w:cs="宋体"/>
          <w:sz w:val="18"/>
          <w:szCs w:val="18"/>
        </w:rPr>
        <w:t>否</w:t>
      </w:r>
    </w:p>
    <w:p>
      <w:pPr>
        <w:spacing w:before="100" w:after="100" w:line="240" w:lineRule="exact"/>
        <w:rPr>
          <w:rFonts w:ascii="宋体" w:hAnsi="宋体" w:eastAsia="宋体" w:cs="宋体"/>
          <w:sz w:val="18"/>
          <w:szCs w:val="18"/>
        </w:rPr>
      </w:pPr>
      <w:r>
        <w:rPr>
          <w:rFonts w:ascii="宋体" w:hAnsi="宋体" w:eastAsia="宋体" w:cs="宋体"/>
          <w:sz w:val="18"/>
          <w:szCs w:val="18"/>
        </w:rPr>
        <w:t>监事会对报告期内的监督事项无异议。</w:t>
      </w:r>
    </w:p>
    <w:p>
      <w:pPr>
        <w:pStyle w:val="3"/>
        <w:spacing w:before="300" w:after="300" w:line="320" w:lineRule="exact"/>
        <w:rPr>
          <w:rFonts w:ascii="宋体" w:hAnsi="宋体" w:eastAsia="宋体" w:cs="宋体"/>
          <w:b/>
          <w:bCs/>
          <w:sz w:val="24"/>
          <w:szCs w:val="24"/>
        </w:rPr>
      </w:pPr>
      <w:bookmarkStart w:id="72" w:name="_Toc988959"/>
      <w:r>
        <w:rPr>
          <w:rFonts w:ascii="宋体" w:hAnsi="宋体" w:eastAsia="宋体" w:cs="宋体"/>
          <w:b/>
          <w:bCs/>
          <w:sz w:val="24"/>
          <w:szCs w:val="24"/>
        </w:rPr>
        <w:t>十一、公司员工情况</w:t>
      </w:r>
      <w:bookmarkEnd w:id="72"/>
    </w:p>
    <w:p>
      <w:pPr>
        <w:pStyle w:val="4"/>
        <w:spacing w:line="280" w:lineRule="exact"/>
        <w:jc w:val="left"/>
        <w:rPr>
          <w:rFonts w:ascii="宋体" w:hAnsi="宋体" w:cs="宋体"/>
          <w:b/>
          <w:bCs/>
        </w:rPr>
      </w:pPr>
      <w:bookmarkStart w:id="73" w:name="_Toc988960"/>
      <w:r>
        <w:rPr>
          <w:rFonts w:ascii="宋体" w:hAnsi="宋体" w:cs="宋体"/>
          <w:b/>
          <w:bCs/>
        </w:rPr>
        <w:t>1、员工数量、专业构成及教育程度</w:t>
      </w:r>
      <w:bookmarkEnd w:id="73"/>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报告期末母公司在职员工的数量（人）</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974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报告期末主要子公司在职员工的数量（人）</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报告期末在职员工的数量合计（人）</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1,639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当期领取薪酬员工总人数（人）</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1,639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母公司及主要子公司需承担费用的离退休职工人数（人）</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专业构成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专业构成类别</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专业构成人数（人）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生产人员</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792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销售人员</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技术人员</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财务人员</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行政人员</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1,639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教育程度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教育程度类别</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数量（人）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博士</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硕士</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本科</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大专</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高中及以下</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1,639</w:t>
            </w:r>
          </w:p>
        </w:tc>
      </w:tr>
    </w:tbl>
    <w:p>
      <w:pPr>
        <w:pStyle w:val="4"/>
        <w:spacing w:line="280" w:lineRule="exact"/>
        <w:jc w:val="left"/>
        <w:rPr>
          <w:rFonts w:ascii="宋体" w:hAnsi="宋体" w:cs="宋体"/>
          <w:b/>
          <w:bCs/>
        </w:rPr>
      </w:pPr>
      <w:bookmarkStart w:id="74" w:name="_Toc988961"/>
      <w:r>
        <w:rPr>
          <w:rFonts w:ascii="宋体" w:hAnsi="宋体" w:cs="宋体"/>
          <w:b/>
          <w:bCs/>
        </w:rPr>
        <w:t>2、薪酬政策</w:t>
      </w:r>
      <w:bookmarkEnd w:id="74"/>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公司的薪酬福利政策以效率优先、兼顾公平为原则，充分体现保障性和适度的激励性。公司根据岗位价值评估结果制定工资标准，按员工的所属岗位和技能水平支付工资；工资标准根据社会经济发展水平、企业的经济效益和外部劳动力市场的变化定期调整，整体工资水平在公司所在地处于领先地位；绩效奖金根据公司效益及个人绩效结果按季或年度发放；公司根据国家有关法律、法规及地方性文件办理、缴存各项社会保险和住房公积金，并代扣代缴员工个人所得税。</w:t>
      </w:r>
    </w:p>
    <w:p>
      <w:pPr>
        <w:pStyle w:val="4"/>
        <w:spacing w:line="280" w:lineRule="exact"/>
        <w:jc w:val="left"/>
        <w:rPr>
          <w:rFonts w:ascii="宋体" w:hAnsi="宋体" w:cs="宋体"/>
          <w:b/>
          <w:bCs/>
        </w:rPr>
      </w:pPr>
      <w:bookmarkStart w:id="75" w:name="_Toc988962"/>
      <w:r>
        <w:rPr>
          <w:rFonts w:ascii="宋体" w:hAnsi="宋体" w:cs="宋体"/>
          <w:b/>
          <w:bCs/>
        </w:rPr>
        <w:t>3、培训计划</w:t>
      </w:r>
      <w:bookmarkEnd w:id="75"/>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公司注重职工培训，搭建有完备的培训体系，一方面利用公司内部资源对员工进行岗前、在岗业务培训，以及各项法规、公司规章制度等培训，帮助员工成长和提高；另一方面，公司通过聘请外部讲师、组织员工参加外部培训及参加在职学历教育等方式，为不同层级员工制定富有针对性的专项培训，拓宽员工的思维视野，提高员工专业技能和综合素质。公司每年都根据发展战略、人员情况制定相应的培训计划，为员工搭建良好的职业发展通道，为公司发展储备人才。同时为了成就更多员工，让员工实现自身价值，增强自我荣誉感，增强企业凝聚力和战斗力，公司还针对人员价值理念、工作方式、态度、技能等多方面进行培训，从而塑造与公司发展需求相适应的精英团队，提升公司的整体素质和竞争力。</w:t>
      </w:r>
    </w:p>
    <w:p>
      <w:pPr>
        <w:pStyle w:val="4"/>
        <w:spacing w:line="280" w:lineRule="exact"/>
        <w:jc w:val="left"/>
        <w:rPr>
          <w:rFonts w:ascii="宋体" w:hAnsi="宋体" w:cs="宋体"/>
          <w:b/>
          <w:bCs/>
        </w:rPr>
      </w:pPr>
      <w:bookmarkStart w:id="76" w:name="_Toc988963"/>
      <w:r>
        <w:rPr>
          <w:rFonts w:ascii="宋体" w:hAnsi="宋体" w:cs="宋体"/>
          <w:b/>
          <w:bCs/>
        </w:rPr>
        <w:t>4、劳务外包情况</w:t>
      </w:r>
      <w:bookmarkEnd w:id="76"/>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77" w:name="_Toc988964"/>
      <w:r>
        <w:rPr>
          <w:rFonts w:ascii="宋体" w:hAnsi="宋体" w:eastAsia="宋体" w:cs="宋体"/>
          <w:b/>
          <w:bCs/>
          <w:sz w:val="24"/>
          <w:szCs w:val="24"/>
        </w:rPr>
        <w:t>十二、公司利润分配及资本公积金转增股本情况</w:t>
      </w:r>
      <w:bookmarkEnd w:id="77"/>
    </w:p>
    <w:p>
      <w:pPr>
        <w:spacing w:before="100" w:after="100" w:line="240" w:lineRule="exact"/>
        <w:rPr>
          <w:rFonts w:ascii="宋体" w:hAnsi="宋体" w:eastAsia="宋体" w:cs="宋体"/>
          <w:sz w:val="18"/>
          <w:szCs w:val="18"/>
        </w:rPr>
      </w:pPr>
      <w:r>
        <w:rPr>
          <w:rFonts w:ascii="宋体" w:hAnsi="宋体" w:eastAsia="宋体" w:cs="宋体"/>
          <w:sz w:val="18"/>
          <w:szCs w:val="18"/>
        </w:rPr>
        <w:t>报告期内利润分配政策，特别是现金分红政策的制定、执行或调整情况</w:t>
      </w:r>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pStyle w:val="11"/>
        <w:spacing w:before="0" w:beforeAutospacing="0" w:after="0" w:afterAutospacing="0"/>
        <w:rPr>
          <w:sz w:val="18"/>
          <w:szCs w:val="18"/>
        </w:rPr>
      </w:pPr>
      <w:r>
        <w:rPr>
          <w:rFonts w:hint="eastAsia"/>
          <w:sz w:val="18"/>
          <w:szCs w:val="18"/>
        </w:rPr>
        <w:t>报告期内，公司利润分配政策未发生新制定或调整的情况。</w:t>
      </w:r>
    </w:p>
    <w:p>
      <w:pPr>
        <w:spacing w:before="40" w:after="40"/>
        <w:ind w:firstLine="360" w:firstLineChars="200"/>
        <w:rPr>
          <w:rFonts w:ascii="宋体" w:hAnsi="宋体" w:eastAsia="宋体" w:cs="宋体"/>
          <w:sz w:val="18"/>
          <w:szCs w:val="18"/>
        </w:rPr>
      </w:pPr>
      <w:r>
        <w:rPr>
          <w:rFonts w:ascii="宋体" w:hAnsi="宋体" w:eastAsia="宋体" w:cs="宋体"/>
          <w:sz w:val="18"/>
          <w:szCs w:val="18"/>
        </w:rPr>
        <w:t>2022</w:t>
      </w:r>
      <w:r>
        <w:rPr>
          <w:rFonts w:hint="eastAsia" w:ascii="宋体" w:hAnsi="宋体" w:eastAsia="宋体" w:cs="宋体"/>
          <w:sz w:val="18"/>
          <w:szCs w:val="18"/>
        </w:rPr>
        <w:t>年</w:t>
      </w:r>
      <w:r>
        <w:rPr>
          <w:rFonts w:ascii="宋体" w:hAnsi="宋体" w:eastAsia="宋体" w:cs="宋体"/>
          <w:sz w:val="18"/>
          <w:szCs w:val="18"/>
        </w:rPr>
        <w:t>3</w:t>
      </w:r>
      <w:r>
        <w:rPr>
          <w:rFonts w:hint="eastAsia" w:ascii="宋体" w:hAnsi="宋体" w:eastAsia="宋体" w:cs="宋体"/>
          <w:sz w:val="18"/>
          <w:szCs w:val="18"/>
        </w:rPr>
        <w:t>月</w:t>
      </w:r>
      <w:r>
        <w:rPr>
          <w:rFonts w:ascii="宋体" w:hAnsi="宋体" w:eastAsia="宋体" w:cs="宋体"/>
          <w:sz w:val="18"/>
          <w:szCs w:val="18"/>
        </w:rPr>
        <w:t>28</w:t>
      </w:r>
      <w:r>
        <w:rPr>
          <w:rFonts w:hint="eastAsia" w:ascii="宋体" w:hAnsi="宋体" w:eastAsia="宋体" w:cs="宋体"/>
          <w:sz w:val="18"/>
          <w:szCs w:val="18"/>
        </w:rPr>
        <w:t>日，公司第六届董事会第二十次会议审议通过了《</w:t>
      </w:r>
      <w:r>
        <w:rPr>
          <w:rFonts w:ascii="宋体" w:hAnsi="宋体" w:eastAsia="宋体" w:cs="宋体"/>
          <w:sz w:val="18"/>
          <w:szCs w:val="18"/>
        </w:rPr>
        <w:t>2021</w:t>
      </w:r>
      <w:r>
        <w:rPr>
          <w:rFonts w:hint="eastAsia" w:ascii="宋体" w:hAnsi="宋体" w:eastAsia="宋体" w:cs="宋体"/>
          <w:sz w:val="18"/>
          <w:szCs w:val="18"/>
        </w:rPr>
        <w:t>年度利润分配预案》。公司</w:t>
      </w:r>
      <w:r>
        <w:rPr>
          <w:rFonts w:ascii="宋体" w:hAnsi="宋体" w:eastAsia="宋体" w:cs="宋体"/>
          <w:sz w:val="18"/>
          <w:szCs w:val="18"/>
        </w:rPr>
        <w:t>2021</w:t>
      </w:r>
      <w:r>
        <w:rPr>
          <w:rFonts w:hint="eastAsia" w:ascii="宋体" w:hAnsi="宋体" w:eastAsia="宋体" w:cs="宋体"/>
          <w:sz w:val="18"/>
          <w:szCs w:val="18"/>
        </w:rPr>
        <w:t xml:space="preserve">年度利润分配预案为：以 </w:t>
      </w:r>
      <w:r>
        <w:rPr>
          <w:rFonts w:ascii="宋体" w:hAnsi="宋体" w:eastAsia="宋体" w:cs="宋体"/>
          <w:sz w:val="18"/>
          <w:szCs w:val="18"/>
        </w:rPr>
        <w:t>2021</w:t>
      </w:r>
      <w:r>
        <w:rPr>
          <w:rFonts w:hint="eastAsia" w:ascii="宋体" w:hAnsi="宋体" w:eastAsia="宋体" w:cs="宋体"/>
          <w:sz w:val="18"/>
          <w:szCs w:val="18"/>
        </w:rPr>
        <w:t>年</w:t>
      </w:r>
      <w:r>
        <w:rPr>
          <w:rFonts w:ascii="宋体" w:hAnsi="宋体" w:eastAsia="宋体" w:cs="宋体"/>
          <w:sz w:val="18"/>
          <w:szCs w:val="18"/>
        </w:rPr>
        <w:t>12</w:t>
      </w:r>
      <w:r>
        <w:rPr>
          <w:rFonts w:hint="eastAsia" w:ascii="宋体" w:hAnsi="宋体" w:eastAsia="宋体" w:cs="宋体"/>
          <w:sz w:val="18"/>
          <w:szCs w:val="18"/>
        </w:rPr>
        <w:t>月</w:t>
      </w:r>
      <w:r>
        <w:rPr>
          <w:rFonts w:ascii="宋体" w:hAnsi="宋体" w:eastAsia="宋体" w:cs="宋体"/>
          <w:sz w:val="18"/>
          <w:szCs w:val="18"/>
        </w:rPr>
        <w:t>31</w:t>
      </w:r>
      <w:r>
        <w:rPr>
          <w:rFonts w:hint="eastAsia" w:ascii="宋体" w:hAnsi="宋体" w:eastAsia="宋体" w:cs="宋体"/>
          <w:sz w:val="18"/>
          <w:szCs w:val="18"/>
        </w:rPr>
        <w:t>日总股本</w:t>
      </w:r>
      <w:r>
        <w:rPr>
          <w:rFonts w:ascii="宋体" w:hAnsi="宋体" w:eastAsia="宋体" w:cs="宋体"/>
          <w:sz w:val="18"/>
          <w:szCs w:val="18"/>
        </w:rPr>
        <w:t>1,040,033,262</w:t>
      </w:r>
      <w:r>
        <w:rPr>
          <w:rFonts w:hint="eastAsia" w:ascii="宋体" w:hAnsi="宋体" w:eastAsia="宋体" w:cs="宋体"/>
          <w:sz w:val="18"/>
          <w:szCs w:val="18"/>
        </w:rPr>
        <w:t>股为基数，向全体股东每</w:t>
      </w:r>
      <w:r>
        <w:rPr>
          <w:rFonts w:ascii="宋体" w:hAnsi="宋体" w:eastAsia="宋体" w:cs="宋体"/>
          <w:sz w:val="18"/>
          <w:szCs w:val="18"/>
        </w:rPr>
        <w:t>10</w:t>
      </w:r>
      <w:r>
        <w:rPr>
          <w:rFonts w:hint="eastAsia" w:ascii="宋体" w:hAnsi="宋体" w:eastAsia="宋体" w:cs="宋体"/>
          <w:sz w:val="18"/>
          <w:szCs w:val="18"/>
        </w:rPr>
        <w:t>股派发现金红利</w:t>
      </w:r>
      <w:r>
        <w:rPr>
          <w:rFonts w:ascii="宋体" w:hAnsi="宋体" w:eastAsia="宋体" w:cs="宋体"/>
          <w:sz w:val="18"/>
          <w:szCs w:val="18"/>
        </w:rPr>
        <w:t>0.3</w:t>
      </w:r>
      <w:r>
        <w:rPr>
          <w:rFonts w:hint="eastAsia" w:ascii="宋体" w:hAnsi="宋体" w:eastAsia="宋体" w:cs="宋体"/>
          <w:sz w:val="18"/>
          <w:szCs w:val="18"/>
        </w:rPr>
        <w:t>元（含税），共计派发现金红利</w:t>
      </w:r>
      <w:r>
        <w:rPr>
          <w:rFonts w:ascii="宋体" w:hAnsi="宋体" w:eastAsia="宋体" w:cs="宋体"/>
          <w:sz w:val="18"/>
          <w:szCs w:val="18"/>
        </w:rPr>
        <w:t>31,200,997.86</w:t>
      </w:r>
      <w:r>
        <w:rPr>
          <w:rFonts w:hint="eastAsia" w:ascii="宋体" w:hAnsi="宋体" w:eastAsia="宋体" w:cs="宋体"/>
          <w:sz w:val="18"/>
          <w:szCs w:val="18"/>
        </w:rPr>
        <w:t>元。</w:t>
      </w:r>
    </w:p>
    <w:p>
      <w:pPr>
        <w:spacing w:before="40" w:after="40"/>
        <w:ind w:firstLine="360" w:firstLineChars="200"/>
        <w:rPr>
          <w:rFonts w:ascii="宋体" w:hAnsi="宋体" w:eastAsia="宋体" w:cs="宋体"/>
          <w:sz w:val="18"/>
          <w:szCs w:val="18"/>
        </w:rPr>
      </w:pPr>
      <w:r>
        <w:rPr>
          <w:rFonts w:ascii="宋体" w:hAnsi="宋体" w:eastAsia="宋体" w:cs="宋体"/>
          <w:sz w:val="18"/>
          <w:szCs w:val="18"/>
        </w:rPr>
        <w:t>2022</w:t>
      </w:r>
      <w:r>
        <w:rPr>
          <w:rFonts w:hint="eastAsia" w:ascii="宋体" w:hAnsi="宋体" w:eastAsia="宋体" w:cs="宋体"/>
          <w:sz w:val="18"/>
          <w:szCs w:val="18"/>
        </w:rPr>
        <w:t>年</w:t>
      </w:r>
      <w:r>
        <w:rPr>
          <w:rFonts w:ascii="宋体" w:hAnsi="宋体" w:eastAsia="宋体" w:cs="宋体"/>
          <w:sz w:val="18"/>
          <w:szCs w:val="18"/>
        </w:rPr>
        <w:t>4</w:t>
      </w:r>
      <w:r>
        <w:rPr>
          <w:rFonts w:hint="eastAsia" w:ascii="宋体" w:hAnsi="宋体" w:eastAsia="宋体" w:cs="宋体"/>
          <w:sz w:val="18"/>
          <w:szCs w:val="18"/>
        </w:rPr>
        <w:t>月</w:t>
      </w:r>
      <w:r>
        <w:rPr>
          <w:rFonts w:ascii="宋体" w:hAnsi="宋体" w:eastAsia="宋体" w:cs="宋体"/>
          <w:sz w:val="18"/>
          <w:szCs w:val="18"/>
        </w:rPr>
        <w:t>19</w:t>
      </w:r>
      <w:r>
        <w:rPr>
          <w:rFonts w:hint="eastAsia" w:ascii="宋体" w:hAnsi="宋体" w:eastAsia="宋体" w:cs="宋体"/>
          <w:sz w:val="18"/>
          <w:szCs w:val="18"/>
        </w:rPr>
        <w:t>日，公司</w:t>
      </w:r>
      <w:r>
        <w:rPr>
          <w:rFonts w:ascii="宋体" w:hAnsi="宋体" w:eastAsia="宋体" w:cs="宋体"/>
          <w:sz w:val="18"/>
          <w:szCs w:val="18"/>
        </w:rPr>
        <w:t>2021</w:t>
      </w:r>
      <w:r>
        <w:rPr>
          <w:rFonts w:hint="eastAsia" w:ascii="宋体" w:hAnsi="宋体" w:eastAsia="宋体" w:cs="宋体"/>
          <w:sz w:val="18"/>
          <w:szCs w:val="18"/>
        </w:rPr>
        <w:t>年度股东大会审议通过了《</w:t>
      </w:r>
      <w:r>
        <w:rPr>
          <w:rFonts w:ascii="宋体" w:hAnsi="宋体" w:eastAsia="宋体" w:cs="宋体"/>
          <w:sz w:val="18"/>
          <w:szCs w:val="18"/>
        </w:rPr>
        <w:t>2021</w:t>
      </w:r>
      <w:r>
        <w:rPr>
          <w:rFonts w:hint="eastAsia" w:ascii="宋体" w:hAnsi="宋体" w:eastAsia="宋体" w:cs="宋体"/>
          <w:sz w:val="18"/>
          <w:szCs w:val="18"/>
        </w:rPr>
        <w:t>年度利润分配方案》。</w:t>
      </w:r>
    </w:p>
    <w:p>
      <w:pPr>
        <w:spacing w:before="40" w:after="40"/>
        <w:ind w:firstLine="360" w:firstLineChars="200"/>
        <w:rPr>
          <w:rFonts w:ascii="宋体" w:hAnsi="宋体" w:eastAsia="宋体" w:cs="宋体"/>
          <w:sz w:val="18"/>
          <w:szCs w:val="18"/>
        </w:rPr>
      </w:pPr>
      <w:r>
        <w:rPr>
          <w:rFonts w:ascii="宋体" w:hAnsi="宋体" w:eastAsia="宋体" w:cs="宋体"/>
          <w:sz w:val="18"/>
          <w:szCs w:val="18"/>
        </w:rPr>
        <w:t>2022</w:t>
      </w:r>
      <w:r>
        <w:rPr>
          <w:rFonts w:hint="eastAsia" w:ascii="宋体" w:hAnsi="宋体" w:eastAsia="宋体" w:cs="宋体"/>
          <w:sz w:val="18"/>
          <w:szCs w:val="18"/>
        </w:rPr>
        <w:t>年</w:t>
      </w:r>
      <w:r>
        <w:rPr>
          <w:rFonts w:ascii="宋体" w:hAnsi="宋体" w:eastAsia="宋体" w:cs="宋体"/>
          <w:sz w:val="18"/>
          <w:szCs w:val="18"/>
        </w:rPr>
        <w:t>5</w:t>
      </w:r>
      <w:r>
        <w:rPr>
          <w:rFonts w:hint="eastAsia" w:ascii="宋体" w:hAnsi="宋体" w:eastAsia="宋体" w:cs="宋体"/>
          <w:sz w:val="18"/>
          <w:szCs w:val="18"/>
        </w:rPr>
        <w:t>月</w:t>
      </w:r>
      <w:r>
        <w:rPr>
          <w:rFonts w:ascii="宋体" w:hAnsi="宋体" w:eastAsia="宋体" w:cs="宋体"/>
          <w:sz w:val="18"/>
          <w:szCs w:val="18"/>
        </w:rPr>
        <w:t>6</w:t>
      </w:r>
      <w:r>
        <w:rPr>
          <w:rFonts w:hint="eastAsia" w:ascii="宋体" w:hAnsi="宋体" w:eastAsia="宋体" w:cs="宋体"/>
          <w:sz w:val="18"/>
          <w:szCs w:val="18"/>
        </w:rPr>
        <w:t>日，公司发布了《</w:t>
      </w:r>
      <w:r>
        <w:rPr>
          <w:rFonts w:ascii="宋体" w:hAnsi="宋体" w:eastAsia="宋体" w:cs="宋体"/>
          <w:sz w:val="18"/>
          <w:szCs w:val="18"/>
        </w:rPr>
        <w:t>2021</w:t>
      </w:r>
      <w:r>
        <w:rPr>
          <w:rFonts w:hint="eastAsia" w:ascii="宋体" w:hAnsi="宋体" w:eastAsia="宋体" w:cs="宋体"/>
          <w:sz w:val="18"/>
          <w:szCs w:val="18"/>
        </w:rPr>
        <w:t>年年度权益分派实施公告》；</w:t>
      </w:r>
      <w:r>
        <w:rPr>
          <w:rFonts w:ascii="宋体" w:hAnsi="宋体" w:eastAsia="宋体" w:cs="宋体"/>
          <w:sz w:val="18"/>
          <w:szCs w:val="18"/>
        </w:rPr>
        <w:t>2022</w:t>
      </w:r>
      <w:r>
        <w:rPr>
          <w:rFonts w:hint="eastAsia" w:ascii="宋体" w:hAnsi="宋体" w:eastAsia="宋体" w:cs="宋体"/>
          <w:sz w:val="18"/>
          <w:szCs w:val="18"/>
        </w:rPr>
        <w:t>年</w:t>
      </w:r>
      <w:r>
        <w:rPr>
          <w:rFonts w:ascii="宋体" w:hAnsi="宋体" w:eastAsia="宋体" w:cs="宋体"/>
          <w:sz w:val="18"/>
          <w:szCs w:val="18"/>
        </w:rPr>
        <w:t>5</w:t>
      </w:r>
      <w:r>
        <w:rPr>
          <w:rFonts w:hint="eastAsia" w:ascii="宋体" w:hAnsi="宋体" w:eastAsia="宋体" w:cs="宋体"/>
          <w:sz w:val="18"/>
          <w:szCs w:val="18"/>
        </w:rPr>
        <w:t>月</w:t>
      </w:r>
      <w:r>
        <w:rPr>
          <w:rFonts w:ascii="宋体" w:hAnsi="宋体" w:eastAsia="宋体" w:cs="宋体"/>
          <w:sz w:val="18"/>
          <w:szCs w:val="18"/>
        </w:rPr>
        <w:t>16</w:t>
      </w:r>
      <w:r>
        <w:rPr>
          <w:rFonts w:hint="eastAsia" w:ascii="宋体" w:hAnsi="宋体" w:eastAsia="宋体" w:cs="宋体"/>
          <w:sz w:val="18"/>
          <w:szCs w:val="18"/>
        </w:rPr>
        <w:t>日，公司实施了利润分配方案，实际现金分红</w:t>
      </w:r>
      <w:r>
        <w:rPr>
          <w:rFonts w:ascii="宋体" w:hAnsi="宋体" w:eastAsia="宋体" w:cs="宋体"/>
          <w:sz w:val="18"/>
          <w:szCs w:val="18"/>
        </w:rPr>
        <w:t>31,200,997.86</w:t>
      </w:r>
      <w:r>
        <w:rPr>
          <w:rFonts w:hint="eastAsia" w:ascii="宋体" w:hAnsi="宋体" w:eastAsia="宋体" w:cs="宋体"/>
          <w:sz w:val="18"/>
          <w:szCs w:val="18"/>
        </w:rPr>
        <w:t>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现金分红政策的专项说明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是否符合公司章程的规定或股东大会决议的要求：</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分红标准和比例是否明确和清晰：</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相关的决策程序和机制是否完备：</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独立董事是否履职尽责并发挥了应有的作用：</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中小股东是否有充分表达意见和诉求的机会，其合法权益是否得到了充分保护：</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现金分红政策进行调整或变更的，条件及程序是否合规、透明：</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未发生调整或变更</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公司报告期利润分配预案及资本公积金转增股本预案与公司章程和分红管理办法等的相关规定一致</w:t>
      </w:r>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是 □否 □不适用</w:t>
      </w:r>
    </w:p>
    <w:p>
      <w:pPr>
        <w:spacing w:before="100" w:after="100" w:line="240" w:lineRule="exact"/>
        <w:rPr>
          <w:rFonts w:ascii="宋体" w:hAnsi="宋体" w:eastAsia="宋体" w:cs="宋体"/>
          <w:sz w:val="18"/>
          <w:szCs w:val="18"/>
        </w:rPr>
      </w:pPr>
      <w:r>
        <w:rPr>
          <w:rFonts w:ascii="宋体" w:hAnsi="宋体" w:eastAsia="宋体" w:cs="宋体"/>
          <w:sz w:val="18"/>
          <w:szCs w:val="18"/>
        </w:rPr>
        <w:t>公司报告期利润分配预案及资本公积金转增股本预案符合公司章程等的相关规定。</w:t>
      </w:r>
    </w:p>
    <w:p>
      <w:pPr>
        <w:spacing w:line="240" w:lineRule="exact"/>
        <w:rPr>
          <w:rFonts w:ascii="宋体" w:hAnsi="宋体" w:eastAsia="宋体" w:cs="宋体"/>
          <w:sz w:val="18"/>
          <w:szCs w:val="18"/>
        </w:rPr>
      </w:pPr>
      <w:r>
        <w:rPr>
          <w:rFonts w:ascii="宋体" w:hAnsi="宋体" w:eastAsia="宋体" w:cs="宋体"/>
          <w:sz w:val="18"/>
          <w:szCs w:val="18"/>
        </w:rPr>
        <w:t>本年度利润分配及资本公积金转增股本情况</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每10股送红股数（股）</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每10股派息数（元）（含税）</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每10股转增数（股）</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分配预案的股本基数（股）</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本次现金分红情况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利润分配或资本公积金转增预案的详细情况说明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经北京兴华会计师事务所（特殊普通合伙）审计，公司（母公司）2022年实现净利润185,499,667.27元，根据公司章程的规定，提取法定盈余公积18,549,966.73元，加上上年结存未分配利润662,423,216.16元，减去2021年度分配现金股利31,200,997.86元，本年度末可供投资者分配的利润为798,171,918.84元。2023年3月30日，公司第六届董事会第二十七次会议审议通过了《2022年度利润分配预案》。公司2022年度利润分配预案为：以2022年12月31日总股本1,040,033,262股为基数，向全体股东每10股派发现金红利0.3元（含税），共计派发现金红利31,200,997.86元。上述预案符合公司章程及审议程序的规定，充分保护了中小投资者的合法权益，独立董事就此发表了独立意见。</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公司报告期内盈利且母公司可供股东分配利润为正但未提出现金红利分配预案</w:t>
      </w:r>
    </w:p>
    <w:p>
      <w:pPr>
        <w:spacing w:before="100" w:after="100" w:line="240" w:lineRule="exact"/>
        <w:rPr>
          <w:rFonts w:ascii="宋体" w:hAnsi="宋体" w:eastAsia="宋体" w:cs="宋体"/>
          <w:sz w:val="18"/>
          <w:szCs w:val="18"/>
        </w:rPr>
      </w:pPr>
      <w:r>
        <w:rPr>
          <w:rFonts w:ascii="宋体" w:hAnsi="宋体" w:eastAsia="宋体" w:cs="宋体"/>
          <w:sz w:val="18"/>
          <w:szCs w:val="18"/>
        </w:rPr>
        <w:t>□适用</w:t>
      </w:r>
      <w:r>
        <w:rPr>
          <w:szCs w:val="24"/>
        </w:rPr>
        <w:t xml:space="preserve">√ </w:t>
      </w: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78" w:name="_Toc988965"/>
      <w:r>
        <w:rPr>
          <w:rFonts w:ascii="宋体" w:hAnsi="宋体" w:eastAsia="宋体" w:cs="宋体"/>
          <w:b/>
          <w:bCs/>
          <w:sz w:val="24"/>
          <w:szCs w:val="24"/>
        </w:rPr>
        <w:t>十三、公司股权激励计划、员工持股计划或其他员工激励措施的实施情况</w:t>
      </w:r>
      <w:bookmarkEnd w:id="78"/>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spacing w:before="40" w:after="40" w:line="240" w:lineRule="exact"/>
        <w:rPr>
          <w:rFonts w:ascii="宋体" w:hAnsi="宋体" w:eastAsia="宋体" w:cs="宋体"/>
          <w:sz w:val="18"/>
          <w:szCs w:val="18"/>
        </w:rPr>
      </w:pPr>
      <w:r>
        <w:rPr>
          <w:rFonts w:ascii="宋体" w:hAnsi="宋体" w:eastAsia="宋体" w:cs="宋体"/>
          <w:sz w:val="18"/>
          <w:szCs w:val="18"/>
        </w:rPr>
        <w:t>公司报告期无股权激励计划、员工持股计划或其他员工激励措施及其实施情况。</w:t>
      </w:r>
    </w:p>
    <w:p>
      <w:pPr>
        <w:pStyle w:val="3"/>
        <w:spacing w:before="300" w:after="300" w:line="320" w:lineRule="exact"/>
        <w:rPr>
          <w:rFonts w:ascii="宋体" w:hAnsi="宋体" w:eastAsia="宋体" w:cs="宋体"/>
          <w:b/>
          <w:bCs/>
          <w:sz w:val="24"/>
          <w:szCs w:val="24"/>
        </w:rPr>
      </w:pPr>
      <w:bookmarkStart w:id="79" w:name="_Toc988966"/>
      <w:r>
        <w:rPr>
          <w:rFonts w:ascii="宋体" w:hAnsi="宋体" w:eastAsia="宋体" w:cs="宋体"/>
          <w:b/>
          <w:bCs/>
          <w:sz w:val="24"/>
          <w:szCs w:val="24"/>
        </w:rPr>
        <w:t>十四、报告期内的内部控制制度建设及实施情况</w:t>
      </w:r>
      <w:bookmarkEnd w:id="79"/>
    </w:p>
    <w:p>
      <w:pPr>
        <w:pStyle w:val="4"/>
        <w:spacing w:line="280" w:lineRule="exact"/>
        <w:jc w:val="left"/>
        <w:rPr>
          <w:rFonts w:ascii="宋体" w:hAnsi="宋体" w:cs="宋体"/>
          <w:b/>
          <w:bCs/>
        </w:rPr>
      </w:pPr>
      <w:bookmarkStart w:id="80" w:name="_Toc988967"/>
      <w:r>
        <w:rPr>
          <w:rFonts w:ascii="宋体" w:hAnsi="宋体" w:cs="宋体"/>
          <w:b/>
          <w:bCs/>
        </w:rPr>
        <w:t>1、内部控制建设及实施情况</w:t>
      </w:r>
      <w:bookmarkEnd w:id="80"/>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根据《企业内部控制基本规范》及其配套指引的规定和其他内部控制监管要求，以及《深圳证券交易所创业板股票上市规则》《深圳证券交易所创业板上市公司规范运作指引》等有关规定，公司建立健全和有效实施内部控制，内部控制范围涵盖资金管理、重大投资、资产管理、销售与收款业务、采购与付款业务、关联交易、信息披露等各个方面和环节，以合理保证公司经营管理合法合规、资产安全、财务报告及相关信息真实完整，提高经营效率和效果。</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公司依法设有股东大会、董事会、监事会，同时制定了</w:t>
      </w:r>
      <w:r>
        <w:rPr>
          <w:rFonts w:ascii="宋体" w:hAnsi="宋体" w:eastAsia="宋体" w:cs="宋体"/>
          <w:sz w:val="18"/>
          <w:szCs w:val="18"/>
        </w:rPr>
        <w:t>“</w:t>
      </w:r>
      <w:r>
        <w:rPr>
          <w:rFonts w:hint="eastAsia" w:ascii="宋体" w:hAnsi="宋体" w:eastAsia="宋体" w:cs="宋体"/>
          <w:sz w:val="18"/>
          <w:szCs w:val="18"/>
        </w:rPr>
        <w:t>三会</w:t>
      </w:r>
      <w:r>
        <w:rPr>
          <w:rFonts w:ascii="宋体" w:hAnsi="宋体" w:eastAsia="宋体" w:cs="宋体"/>
          <w:sz w:val="18"/>
          <w:szCs w:val="18"/>
        </w:rPr>
        <w:t>”</w:t>
      </w:r>
      <w:r>
        <w:rPr>
          <w:rFonts w:hint="eastAsia" w:ascii="宋体" w:hAnsi="宋体" w:eastAsia="宋体" w:cs="宋体"/>
          <w:sz w:val="18"/>
          <w:szCs w:val="18"/>
        </w:rPr>
        <w:t>议事规则，并已得到有效执行。公司董事会下设审计委员会、战略委员会、薪酬与考核委员会和提名委员会等四个专门委员会，在董事会内部按照职责分别行使各专项职能。股东大会、董事会、监事会和管理层之间权责分明、相互制衡、运作良好，形成了一套合理、完整、有效的经营管理框架，为公司的规范运作、长期健康发展打下了坚实的基础。</w:t>
      </w:r>
    </w:p>
    <w:p>
      <w:pPr>
        <w:spacing w:before="40" w:after="40"/>
        <w:ind w:firstLine="360" w:firstLineChars="200"/>
        <w:rPr>
          <w:rFonts w:ascii="宋体" w:hAnsi="宋体" w:eastAsia="宋体" w:cs="宋体"/>
          <w:sz w:val="18"/>
          <w:szCs w:val="18"/>
        </w:rPr>
      </w:pPr>
      <w:r>
        <w:rPr>
          <w:rFonts w:ascii="Times New Roman" w:hAnsi="Times New Roman" w:cs="Times New Roman"/>
          <w:sz w:val="18"/>
          <w:szCs w:val="18"/>
        </w:rPr>
        <w:t> </w:t>
      </w:r>
      <w:r>
        <w:rPr>
          <w:rFonts w:hint="eastAsia" w:ascii="宋体" w:hAnsi="宋体" w:eastAsia="宋体" w:cs="宋体"/>
          <w:sz w:val="18"/>
          <w:szCs w:val="18"/>
        </w:rPr>
        <w:t>公司制定了《业务经营审批权限》《业务分级管理制度》等内控制度，明确了各部门、各岗位的目标、职责和权限，建立了相关部门之间、岗位之间的制衡和监督机制，将业务授权、业务记录、资产保管和维护以及业务执行的责任尽可能地分离，并设立了专门负责监督检查的内部审计部门。公司内部审计部门，在董事会审计委员会的领导下开展工作，负责审核公司的经营、财务状况及对外披露的财务信息，审查内部控制的执行情况，定期检查公司内部控制政策和程序的适用性及遵守性，评估其实施的效果和效率。</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公司建立了适当的内部风险管理体系。公司管理层在制订公司战略和经营计划时充分分析了可能面临的政策风险、经营风险、筹资风险和合规风险等，制定了相应的风险图谱，对于在工作过程中发现的风险采取不同的风险管理解决方案，将风险控制在可控的范围内，并在后续进行跟踪、监督、落实。此外，公司建立和实施了两级绩效考评制度，设立了以总经理为组长的公司级绩效考核办公室，科学设置了考核指标体系，对公司各中心负责人进行逐月考评及年终总评，同时制定各事业部考评体系指引，指导各事业部建立健全二级考核考评体系，并将考评结果作为确定员工薪酬、职务晋升、评优、降级等依据。</w:t>
      </w:r>
    </w:p>
    <w:p>
      <w:pPr>
        <w:spacing w:before="40" w:after="40"/>
        <w:ind w:firstLine="360" w:firstLineChars="200"/>
      </w:pPr>
      <w:r>
        <w:rPr>
          <w:rFonts w:hint="eastAsia" w:ascii="宋体" w:hAnsi="宋体" w:eastAsia="宋体" w:cs="宋体"/>
          <w:sz w:val="18"/>
          <w:szCs w:val="18"/>
        </w:rPr>
        <w:t>报告期内，公司已按照企业内部控制规范体系和相关规定的要求，在所有重大方面保持了有效的内部控制。</w:t>
      </w:r>
    </w:p>
    <w:p>
      <w:pPr>
        <w:pStyle w:val="4"/>
        <w:spacing w:line="280" w:lineRule="exact"/>
        <w:jc w:val="left"/>
        <w:rPr>
          <w:rFonts w:ascii="宋体" w:hAnsi="宋体" w:cs="宋体"/>
          <w:b/>
          <w:bCs/>
        </w:rPr>
      </w:pPr>
      <w:bookmarkStart w:id="81" w:name="_Toc988968"/>
      <w:r>
        <w:rPr>
          <w:rFonts w:ascii="宋体" w:hAnsi="宋体" w:cs="宋体"/>
          <w:b/>
          <w:bCs/>
        </w:rPr>
        <w:t>2、报告期内发现的内部控制重大缺陷的具体情况</w:t>
      </w:r>
      <w:bookmarkEnd w:id="81"/>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□是 </w:t>
      </w:r>
      <w:r>
        <w:rPr>
          <w:szCs w:val="24"/>
        </w:rPr>
        <w:t xml:space="preserve">√ </w:t>
      </w:r>
      <w:r>
        <w:rPr>
          <w:rFonts w:ascii="宋体" w:hAnsi="宋体" w:eastAsia="宋体" w:cs="宋体"/>
          <w:sz w:val="18"/>
          <w:szCs w:val="18"/>
        </w:rPr>
        <w:t>否</w:t>
      </w:r>
    </w:p>
    <w:p>
      <w:pPr>
        <w:pStyle w:val="3"/>
        <w:spacing w:before="300" w:after="300" w:line="320" w:lineRule="exact"/>
        <w:rPr>
          <w:rFonts w:ascii="宋体" w:hAnsi="宋体" w:eastAsia="宋体" w:cs="宋体"/>
          <w:b/>
          <w:bCs/>
          <w:sz w:val="24"/>
          <w:szCs w:val="24"/>
        </w:rPr>
      </w:pPr>
      <w:bookmarkStart w:id="82" w:name="_Toc988969"/>
      <w:r>
        <w:rPr>
          <w:rFonts w:ascii="宋体" w:hAnsi="宋体" w:eastAsia="宋体" w:cs="宋体"/>
          <w:b/>
          <w:bCs/>
          <w:sz w:val="24"/>
          <w:szCs w:val="24"/>
        </w:rPr>
        <w:t>十五、公司报告期内对子公司的管理控制情况</w:t>
      </w:r>
      <w:bookmarkEnd w:id="82"/>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2451"/>
        <w:gridCol w:w="992"/>
        <w:gridCol w:w="1134"/>
        <w:gridCol w:w="1276"/>
        <w:gridCol w:w="992"/>
        <w:gridCol w:w="141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公司名称</w:t>
            </w:r>
          </w:p>
        </w:tc>
        <w:tc>
          <w:tcPr>
            <w:tcW w:w="245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整合计划</w:t>
            </w:r>
          </w:p>
        </w:tc>
        <w:tc>
          <w:tcPr>
            <w:tcW w:w="99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整合进展</w:t>
            </w:r>
          </w:p>
        </w:tc>
        <w:tc>
          <w:tcPr>
            <w:tcW w:w="113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整合中遇到的问题</w:t>
            </w:r>
          </w:p>
        </w:tc>
        <w:tc>
          <w:tcPr>
            <w:tcW w:w="12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已采取的解决措施</w:t>
            </w:r>
          </w:p>
        </w:tc>
        <w:tc>
          <w:tcPr>
            <w:tcW w:w="99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解决进展</w:t>
            </w:r>
          </w:p>
        </w:tc>
        <w:tc>
          <w:tcPr>
            <w:tcW w:w="14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后续解决计划</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w:t>
            </w:r>
          </w:p>
        </w:tc>
        <w:tc>
          <w:tcPr>
            <w:tcW w:w="24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天和永磁机构独立，维持独立法人地位，公司已委派财务主管和相关人员负责资源整合、文化融合、规范运作。</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已整合完成</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无</w:t>
            </w:r>
          </w:p>
        </w:tc>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r>
    </w:tbl>
    <w:p>
      <w:pPr>
        <w:pStyle w:val="3"/>
        <w:spacing w:before="300" w:after="300" w:line="320" w:lineRule="exact"/>
        <w:rPr>
          <w:rFonts w:ascii="宋体" w:hAnsi="宋体" w:eastAsia="宋体" w:cs="宋体"/>
          <w:b/>
          <w:bCs/>
          <w:sz w:val="24"/>
          <w:szCs w:val="24"/>
        </w:rPr>
      </w:pPr>
      <w:bookmarkStart w:id="83" w:name="_Toc988970"/>
      <w:r>
        <w:rPr>
          <w:rFonts w:ascii="宋体" w:hAnsi="宋体" w:eastAsia="宋体" w:cs="宋体"/>
          <w:b/>
          <w:bCs/>
          <w:sz w:val="24"/>
          <w:szCs w:val="24"/>
        </w:rPr>
        <w:t>十六、内部控制自我评价报告或内部控制审计报告</w:t>
      </w:r>
      <w:bookmarkEnd w:id="83"/>
    </w:p>
    <w:p>
      <w:pPr>
        <w:pStyle w:val="4"/>
        <w:spacing w:line="280" w:lineRule="exact"/>
        <w:jc w:val="left"/>
        <w:rPr>
          <w:rFonts w:ascii="宋体" w:hAnsi="宋体" w:cs="宋体"/>
          <w:b/>
          <w:bCs/>
        </w:rPr>
      </w:pPr>
      <w:bookmarkStart w:id="84" w:name="_Toc988971"/>
      <w:r>
        <w:rPr>
          <w:rFonts w:ascii="宋体" w:hAnsi="宋体" w:cs="宋体"/>
          <w:b/>
          <w:bCs/>
        </w:rPr>
        <w:t>1、内控自我评价报告</w:t>
      </w:r>
      <w:bookmarkEnd w:id="84"/>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内部控制评价报告全文披露日期</w:t>
            </w:r>
          </w:p>
        </w:tc>
        <w:tc>
          <w:tcPr>
            <w:tcW w:w="6426"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2023年03月31日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内部控制评价报告全文披露索引</w:t>
            </w:r>
          </w:p>
        </w:tc>
        <w:tc>
          <w:tcPr>
            <w:tcW w:w="6426"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http://www.cninfo.com.cn   内部控制评价报告</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纳入评价范围单位资产总额占公司合并财务报表资产总额的比例</w:t>
            </w:r>
          </w:p>
        </w:tc>
        <w:tc>
          <w:tcPr>
            <w:tcW w:w="6426"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纳入评价范围单位营业收入占公司合并财务报表营业收入的比例</w:t>
            </w:r>
          </w:p>
        </w:tc>
        <w:tc>
          <w:tcPr>
            <w:tcW w:w="6426"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缺陷认定标准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财务报告</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非财务报告</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002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定性标准</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（1）重大缺陷</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①董事、监事和高级管理人员舞弊；</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②严重违反法律法规的要求；</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③对已经公告的财务报告出现的重大差错进行错报更正；</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④审计委员会以及内部审计部门对财务报告内部控制监督无效；</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⑤注册会计师发现财务报告存在重大错报，而内部控制在运行过程中未能发现该错报。</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（2）重要缺陷</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①未依照公认会计准则选择和应用会计政策；</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②未建立反舞弊程序和控制措施；</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③对于非常规或特殊交易的账务处理没有建立相应的控制机制或没有实施且没有相应的补偿性控制；</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④对于期末财务报告过程的控制存在一项或多项缺陷且不能合理保证编制的财务报表达到真实、准确的目标。</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（3）一般缺陷</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除上述重大缺陷、重要缺陷之外的其他控制缺陷。</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（1）重大缺陷</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①公司缺乏民主决策程序；</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②媒体频现负面新闻，涉及面广且负面影响一直未能消除；</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③公司重要业务缺乏制度控制或制度体系失效；</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④公司经营活动严重违反国家法律法规；</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⑤中高级管理人员、核心技术人员、业务人员严重流失；</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⑥公司遭受证监会处罚或证券交易所警告。</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（2）重要缺陷</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①公司组织架构、民主决策程序不完善；</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②媒体出现负面新闻，但能及时消除；</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③公司重要业务制度或系统存在缺陷；</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④公司内部控制重要或一般缺陷未得到整改；</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⑤公司违反企业内部规章，形成损失；</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（3）一般缺陷</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除上述重大缺陷、重要缺陷之外的其他产生一般影响或造成轻微损失的控制缺陷。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定量标准</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重大缺陷：错报≥税前利润5%</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重要缺陷：税前利润2%≤错报&lt;税前利润5%</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一般缺陷：错报&lt;税前利润2%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重大缺陷：错报≥税前利润5%</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重要缺陷：税前利润2%≤错报&lt;税前利润5%</w:t>
            </w:r>
          </w:p>
          <w:p>
            <w:pPr>
              <w:spacing w:line="240" w:lineRule="exact"/>
              <w:rPr>
                <w:rFonts w:ascii="宋体" w:hAnsi="宋体" w:eastAsia="宋体" w:cs="宋体"/>
                <w:sz w:val="18"/>
                <w:szCs w:val="18"/>
              </w:rPr>
            </w:pPr>
          </w:p>
          <w:p>
            <w:pPr>
              <w:spacing w:line="240" w:lineRule="exact"/>
              <w:rPr>
                <w:rFonts w:ascii="宋体" w:hAnsi="宋体" w:eastAsia="宋体" w:cs="宋体"/>
                <w:sz w:val="18"/>
                <w:szCs w:val="18"/>
              </w:rPr>
            </w:pPr>
            <w:r>
              <w:rPr>
                <w:rFonts w:ascii="宋体" w:hAnsi="宋体" w:eastAsia="宋体" w:cs="宋体"/>
                <w:sz w:val="18"/>
                <w:szCs w:val="18"/>
              </w:rPr>
              <w:t>一般缺陷：错报&lt;税前利润2%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财务报告重大缺陷数量（个）</w:t>
            </w:r>
          </w:p>
        </w:tc>
        <w:tc>
          <w:tcPr>
            <w:tcW w:w="6426"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非财务报告重大缺陷数量（个）</w:t>
            </w:r>
          </w:p>
        </w:tc>
        <w:tc>
          <w:tcPr>
            <w:tcW w:w="6426"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财务报告重要缺陷数量（个）</w:t>
            </w:r>
          </w:p>
        </w:tc>
        <w:tc>
          <w:tcPr>
            <w:tcW w:w="6426"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非财务报告重要缺陷数量（个）</w:t>
            </w:r>
          </w:p>
        </w:tc>
        <w:tc>
          <w:tcPr>
            <w:tcW w:w="6426"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r>
    </w:tbl>
    <w:p>
      <w:pPr>
        <w:pStyle w:val="4"/>
        <w:spacing w:line="280" w:lineRule="exact"/>
        <w:jc w:val="left"/>
        <w:rPr>
          <w:rFonts w:ascii="宋体" w:hAnsi="宋体" w:cs="宋体"/>
          <w:b/>
          <w:bCs/>
        </w:rPr>
      </w:pPr>
      <w:bookmarkStart w:id="85" w:name="_Toc988972"/>
      <w:r>
        <w:rPr>
          <w:rFonts w:ascii="宋体" w:hAnsi="宋体" w:cs="宋体"/>
          <w:b/>
          <w:bCs/>
        </w:rPr>
        <w:t>2、内部控制审计报告或鉴证报告</w:t>
      </w:r>
      <w:bookmarkEnd w:id="85"/>
    </w:p>
    <w:p>
      <w:pPr>
        <w:spacing w:before="40" w:after="40" w:line="240" w:lineRule="exact"/>
        <w:rPr>
          <w:rFonts w:ascii="宋体" w:hAnsi="宋体" w:eastAsia="宋体" w:cs="宋体"/>
          <w:sz w:val="18"/>
          <w:szCs w:val="18"/>
        </w:rPr>
      </w:pP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86" w:name="_Toc988973"/>
      <w:r>
        <w:rPr>
          <w:rFonts w:ascii="宋体" w:hAnsi="宋体" w:eastAsia="宋体" w:cs="宋体"/>
          <w:b/>
          <w:bCs/>
          <w:sz w:val="24"/>
          <w:szCs w:val="24"/>
        </w:rPr>
        <w:t>十七、上市公司治理专项行动自查问题整改情况</w:t>
      </w:r>
      <w:bookmarkEnd w:id="86"/>
    </w:p>
    <w:p>
      <w:pPr>
        <w:pStyle w:val="11"/>
        <w:rPr>
          <w:sz w:val="18"/>
          <w:szCs w:val="18"/>
        </w:rPr>
      </w:pPr>
      <w:r>
        <w:rPr>
          <w:rFonts w:hint="eastAsia"/>
          <w:sz w:val="18"/>
          <w:szCs w:val="18"/>
        </w:rPr>
        <w:t>不适用</w:t>
      </w:r>
    </w:p>
    <w:p>
      <w:r>
        <w:br w:type="page"/>
      </w:r>
    </w:p>
    <w:p>
      <w:pPr>
        <w:pStyle w:val="20"/>
        <w:spacing w:before="340" w:after="330" w:line="773" w:lineRule="exact"/>
        <w:jc w:val="center"/>
        <w:rPr>
          <w:rFonts w:ascii="宋体" w:hAnsi="宋体" w:eastAsia="宋体" w:cs="宋体"/>
          <w:b/>
          <w:bCs/>
          <w:sz w:val="32"/>
          <w:szCs w:val="32"/>
        </w:rPr>
      </w:pPr>
      <w:bookmarkStart w:id="87" w:name="_Toc988974"/>
      <w:r>
        <w:rPr>
          <w:rFonts w:ascii="宋体" w:hAnsi="宋体" w:eastAsia="宋体" w:cs="宋体"/>
          <w:b/>
          <w:bCs/>
          <w:sz w:val="32"/>
          <w:szCs w:val="32"/>
        </w:rPr>
        <w:t>第五节 环境和社会责任</w:t>
      </w:r>
      <w:bookmarkEnd w:id="87"/>
    </w:p>
    <w:p>
      <w:pPr>
        <w:pStyle w:val="3"/>
        <w:spacing w:before="300" w:after="300" w:line="320" w:lineRule="exact"/>
        <w:rPr>
          <w:rFonts w:ascii="宋体" w:hAnsi="宋体" w:eastAsia="宋体" w:cs="宋体"/>
          <w:b/>
          <w:bCs/>
          <w:sz w:val="24"/>
          <w:szCs w:val="24"/>
        </w:rPr>
      </w:pPr>
      <w:bookmarkStart w:id="88" w:name="_Toc988975"/>
      <w:r>
        <w:rPr>
          <w:rFonts w:ascii="宋体" w:hAnsi="宋体" w:eastAsia="宋体" w:cs="宋体"/>
          <w:b/>
          <w:bCs/>
          <w:sz w:val="24"/>
          <w:szCs w:val="24"/>
        </w:rPr>
        <w:t>一、重大环保问题</w:t>
      </w:r>
      <w:bookmarkEnd w:id="88"/>
    </w:p>
    <w:p>
      <w:pPr>
        <w:spacing w:before="100" w:after="100" w:line="240" w:lineRule="exact"/>
        <w:rPr>
          <w:rFonts w:ascii="宋体" w:hAnsi="宋体" w:eastAsia="宋体" w:cs="宋体"/>
          <w:sz w:val="18"/>
          <w:szCs w:val="18"/>
        </w:rPr>
      </w:pPr>
      <w:r>
        <w:rPr>
          <w:rFonts w:ascii="宋体" w:hAnsi="宋体" w:eastAsia="宋体" w:cs="宋体"/>
          <w:sz w:val="18"/>
          <w:szCs w:val="18"/>
        </w:rPr>
        <w:t>上市公司及其子公司是否属于环境保护部门公布的重点排污单位</w:t>
      </w:r>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是 □否</w:t>
      </w:r>
    </w:p>
    <w:p>
      <w:pPr>
        <w:spacing w:before="100" w:after="100" w:line="240" w:lineRule="exact"/>
        <w:rPr>
          <w:rFonts w:ascii="宋体" w:hAnsi="宋体" w:eastAsia="宋体" w:cs="宋体"/>
          <w:sz w:val="18"/>
          <w:szCs w:val="18"/>
        </w:rPr>
      </w:pPr>
      <w:r>
        <w:rPr>
          <w:rFonts w:ascii="宋体" w:hAnsi="宋体" w:eastAsia="宋体" w:cs="宋体"/>
          <w:sz w:val="18"/>
          <w:szCs w:val="18"/>
        </w:rPr>
        <w:t>环境保护相关政策和行业标准</w:t>
      </w:r>
    </w:p>
    <w:p>
      <w:pPr>
        <w:pStyle w:val="11"/>
        <w:spacing w:before="40" w:beforeAutospacing="0" w:after="40" w:afterAutospacing="0"/>
        <w:rPr>
          <w:sz w:val="18"/>
          <w:szCs w:val="18"/>
        </w:rPr>
      </w:pPr>
      <w:r>
        <w:rPr>
          <w:rFonts w:ascii="Times New Roman" w:hAnsi="Times New Roman" w:cs="Times New Roman"/>
          <w:sz w:val="18"/>
          <w:szCs w:val="18"/>
        </w:rPr>
        <w:t>1.</w:t>
      </w:r>
      <w:r>
        <w:rPr>
          <w:rFonts w:hint="eastAsia"/>
          <w:sz w:val="18"/>
          <w:szCs w:val="18"/>
        </w:rPr>
        <w:t>废水、废气排放标准：《稀土工业污染物排放标准》（</w:t>
      </w:r>
      <w:r>
        <w:rPr>
          <w:rFonts w:ascii="Times New Roman" w:hAnsi="Times New Roman" w:cs="Times New Roman"/>
          <w:sz w:val="18"/>
          <w:szCs w:val="18"/>
        </w:rPr>
        <w:t>GB26451-2011</w:t>
      </w:r>
      <w:r>
        <w:rPr>
          <w:rFonts w:hint="eastAsia"/>
          <w:sz w:val="18"/>
          <w:szCs w:val="18"/>
        </w:rPr>
        <w:t>）</w:t>
      </w:r>
    </w:p>
    <w:p>
      <w:pPr>
        <w:pStyle w:val="11"/>
        <w:spacing w:before="40" w:beforeAutospacing="0" w:after="40" w:afterAutospacing="0"/>
        <w:rPr>
          <w:sz w:val="18"/>
          <w:szCs w:val="18"/>
        </w:rPr>
      </w:pPr>
      <w:r>
        <w:rPr>
          <w:rFonts w:ascii="Times New Roman" w:hAnsi="Times New Roman" w:cs="Times New Roman"/>
          <w:sz w:val="18"/>
          <w:szCs w:val="18"/>
        </w:rPr>
        <w:t xml:space="preserve"> 2.</w:t>
      </w:r>
      <w:r>
        <w:rPr>
          <w:rFonts w:hint="eastAsia"/>
          <w:sz w:val="18"/>
          <w:szCs w:val="18"/>
        </w:rPr>
        <w:t>噪声执行：《工业企业厂界噪声排放标准》（</w:t>
      </w:r>
      <w:r>
        <w:rPr>
          <w:rFonts w:ascii="Times New Roman" w:hAnsi="Times New Roman" w:cs="Times New Roman"/>
          <w:sz w:val="18"/>
          <w:szCs w:val="18"/>
        </w:rPr>
        <w:t>GB12348-2008</w:t>
      </w:r>
      <w:r>
        <w:rPr>
          <w:rFonts w:hint="eastAsia"/>
          <w:sz w:val="18"/>
          <w:szCs w:val="18"/>
        </w:rPr>
        <w:t>） </w:t>
      </w:r>
    </w:p>
    <w:p>
      <w:pPr>
        <w:spacing w:before="100" w:after="100" w:line="240" w:lineRule="exact"/>
        <w:rPr>
          <w:rFonts w:ascii="宋体" w:hAnsi="宋体" w:eastAsia="宋体" w:cs="宋体"/>
          <w:sz w:val="18"/>
          <w:szCs w:val="18"/>
        </w:rPr>
      </w:pPr>
      <w:r>
        <w:rPr>
          <w:rFonts w:ascii="宋体" w:hAnsi="宋体" w:eastAsia="宋体" w:cs="宋体"/>
          <w:sz w:val="18"/>
          <w:szCs w:val="18"/>
        </w:rPr>
        <w:t>环境保护行政许可情况</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排放许可：</w:t>
      </w:r>
      <w:r>
        <w:rPr>
          <w:rFonts w:ascii="宋体" w:hAnsi="宋体" w:eastAsia="宋体" w:cs="宋体"/>
          <w:sz w:val="18"/>
          <w:szCs w:val="18"/>
        </w:rPr>
        <w:t>2022</w:t>
      </w:r>
      <w:r>
        <w:rPr>
          <w:rFonts w:hint="eastAsia" w:ascii="宋体" w:hAnsi="宋体" w:eastAsia="宋体" w:cs="宋体"/>
          <w:sz w:val="18"/>
          <w:szCs w:val="18"/>
        </w:rPr>
        <w:t>年</w:t>
      </w:r>
      <w:r>
        <w:rPr>
          <w:rFonts w:ascii="宋体" w:hAnsi="宋体" w:eastAsia="宋体" w:cs="宋体"/>
          <w:sz w:val="18"/>
          <w:szCs w:val="18"/>
        </w:rPr>
        <w:t>7</w:t>
      </w:r>
      <w:r>
        <w:rPr>
          <w:rFonts w:hint="eastAsia" w:ascii="宋体" w:hAnsi="宋体" w:eastAsia="宋体" w:cs="宋体"/>
          <w:sz w:val="18"/>
          <w:szCs w:val="18"/>
        </w:rPr>
        <w:t>月</w:t>
      </w:r>
      <w:r>
        <w:rPr>
          <w:rFonts w:ascii="宋体" w:hAnsi="宋体" w:eastAsia="宋体" w:cs="宋体"/>
          <w:sz w:val="18"/>
          <w:szCs w:val="18"/>
        </w:rPr>
        <w:t>7</w:t>
      </w:r>
      <w:r>
        <w:rPr>
          <w:rFonts w:hint="eastAsia" w:ascii="宋体" w:hAnsi="宋体" w:eastAsia="宋体" w:cs="宋体"/>
          <w:sz w:val="18"/>
          <w:szCs w:val="18"/>
        </w:rPr>
        <w:t>日，公司控股子公司天和永磁经赣州市环境保护局批准，获取排放污染物许可证，有效期至</w:t>
      </w:r>
      <w:r>
        <w:rPr>
          <w:rFonts w:ascii="宋体" w:hAnsi="宋体" w:eastAsia="宋体" w:cs="宋体"/>
          <w:sz w:val="18"/>
          <w:szCs w:val="18"/>
        </w:rPr>
        <w:t>2027</w:t>
      </w:r>
      <w:r>
        <w:rPr>
          <w:rFonts w:hint="eastAsia" w:ascii="宋体" w:hAnsi="宋体" w:eastAsia="宋体" w:cs="宋体"/>
          <w:sz w:val="18"/>
          <w:szCs w:val="18"/>
        </w:rPr>
        <w:t>年</w:t>
      </w:r>
      <w:r>
        <w:rPr>
          <w:rFonts w:ascii="宋体" w:hAnsi="宋体" w:eastAsia="宋体" w:cs="宋体"/>
          <w:sz w:val="18"/>
          <w:szCs w:val="18"/>
        </w:rPr>
        <w:t>8</w:t>
      </w:r>
      <w:r>
        <w:rPr>
          <w:rFonts w:hint="eastAsia" w:ascii="宋体" w:hAnsi="宋体" w:eastAsia="宋体" w:cs="宋体"/>
          <w:sz w:val="18"/>
          <w:szCs w:val="18"/>
        </w:rPr>
        <w:t>月</w:t>
      </w:r>
      <w:r>
        <w:rPr>
          <w:rFonts w:ascii="宋体" w:hAnsi="宋体" w:eastAsia="宋体" w:cs="宋体"/>
          <w:sz w:val="18"/>
          <w:szCs w:val="18"/>
        </w:rPr>
        <w:t>27</w:t>
      </w:r>
      <w:r>
        <w:rPr>
          <w:rFonts w:hint="eastAsia" w:ascii="宋体" w:hAnsi="宋体" w:eastAsia="宋体" w:cs="宋体"/>
          <w:sz w:val="18"/>
          <w:szCs w:val="18"/>
        </w:rPr>
        <w:t>日，证书编号：</w:t>
      </w:r>
      <w:r>
        <w:rPr>
          <w:rFonts w:ascii="宋体" w:hAnsi="宋体" w:eastAsia="宋体" w:cs="宋体"/>
          <w:sz w:val="18"/>
          <w:szCs w:val="18"/>
        </w:rPr>
        <w:t>91360702799493028U001U</w:t>
      </w:r>
      <w:r>
        <w:rPr>
          <w:rFonts w:hint="eastAsia" w:ascii="宋体" w:hAnsi="宋体" w:eastAsia="宋体" w:cs="宋体"/>
          <w:sz w:val="18"/>
          <w:szCs w:val="18"/>
        </w:rPr>
        <w:t>。</w:t>
      </w:r>
    </w:p>
    <w:p>
      <w:pPr>
        <w:spacing w:before="100" w:after="100" w:line="240" w:lineRule="exact"/>
        <w:rPr>
          <w:rFonts w:ascii="宋体" w:hAnsi="宋体" w:eastAsia="宋体" w:cs="宋体"/>
          <w:sz w:val="18"/>
          <w:szCs w:val="18"/>
        </w:rPr>
      </w:pPr>
      <w:r>
        <w:rPr>
          <w:rFonts w:ascii="宋体" w:hAnsi="宋体" w:eastAsia="宋体" w:cs="宋体"/>
          <w:sz w:val="18"/>
          <w:szCs w:val="18"/>
        </w:rPr>
        <w:t>行业排放标准及生产经营活动中涉及的污染物排放的具体情况</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7"/>
        <w:gridCol w:w="877"/>
        <w:gridCol w:w="877"/>
        <w:gridCol w:w="876"/>
        <w:gridCol w:w="876"/>
        <w:gridCol w:w="876"/>
        <w:gridCol w:w="876"/>
        <w:gridCol w:w="876"/>
        <w:gridCol w:w="876"/>
        <w:gridCol w:w="876"/>
        <w:gridCol w:w="87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公司或子公司名称</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主要污染物及特征污染物的种类</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主要污染物及特征污染物的名称</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排放方式</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排放口数量</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排放口分布情况</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排放浓度/强度</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执行的污染物排放标准</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排放总量</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核定的排放总量</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超标排放情况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废气、废水</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 xml:space="preserve">废气：二氧化硫 、氮氧化物 、颗粒物 、 氯化氢 、 烟气黑度; </w:t>
            </w:r>
          </w:p>
          <w:p>
            <w:pPr>
              <w:spacing w:line="240" w:lineRule="exact"/>
              <w:rPr>
                <w:rFonts w:ascii="宋体" w:hAnsi="宋体" w:eastAsia="宋体" w:cs="宋体"/>
                <w:sz w:val="18"/>
                <w:szCs w:val="18"/>
              </w:rPr>
            </w:pPr>
            <w:r>
              <w:rPr>
                <w:rFonts w:ascii="宋体" w:hAnsi="宋体" w:eastAsia="宋体" w:cs="宋体"/>
                <w:sz w:val="18"/>
                <w:szCs w:val="18"/>
              </w:rPr>
              <w:t>废水：PH、COD、SS、氨氮 、总磷、总氮、总锌、氟化物、石油类、BOD5</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废气通过有组织排放，废水经在线监测后通过总排废水口排放到污水处理厂</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6</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赣州天和永磁材料有限公司厂内</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废气：            二氧化硫﹤300mg/m³、氮氧化物﹤200mg/m³、颗粒物﹤40mg/m³、 氯化氢﹤40mg/m³、烟气黑度 ﹤ 1级；             废水：</w:t>
            </w:r>
          </w:p>
          <w:p>
            <w:pPr>
              <w:spacing w:line="240" w:lineRule="exact"/>
              <w:rPr>
                <w:rFonts w:ascii="宋体" w:hAnsi="宋体" w:eastAsia="宋体" w:cs="宋体"/>
                <w:sz w:val="18"/>
                <w:szCs w:val="18"/>
              </w:rPr>
            </w:pPr>
            <w:r>
              <w:rPr>
                <w:rFonts w:ascii="宋体" w:hAnsi="宋体" w:eastAsia="宋体" w:cs="宋体"/>
                <w:sz w:val="18"/>
                <w:szCs w:val="18"/>
              </w:rPr>
              <w:t>PH6~9、COD﹤100mg/L、</w:t>
            </w:r>
          </w:p>
          <w:p>
            <w:pPr>
              <w:spacing w:line="240" w:lineRule="exact"/>
              <w:rPr>
                <w:rFonts w:ascii="宋体" w:hAnsi="宋体" w:eastAsia="宋体" w:cs="宋体"/>
                <w:sz w:val="18"/>
                <w:szCs w:val="18"/>
              </w:rPr>
            </w:pPr>
            <w:r>
              <w:rPr>
                <w:rFonts w:ascii="宋体" w:hAnsi="宋体" w:eastAsia="宋体" w:cs="宋体"/>
                <w:sz w:val="18"/>
                <w:szCs w:val="18"/>
              </w:rPr>
              <w:t>SS﹤100mg/L、 氨氮﹤50mg/L、总磷﹤5mg/L、总氮﹤70mg/L、总锌﹤ 1.5mg/L、氟化物﹤10mg/L、石油类﹤ 5mg/L、BOD5﹤20mg/L</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《稀土工业污染物排放标准》（GB26451-2011）</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二氧化硫 0.225吨、氮氧化物1.066吨、颗粒物 0.157吨、 COD 2.329吨、 氨氮 0.083吨</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二氧化硫5.235吨、氮氧化物3.49吨、颗粒物 0.99吨、COD 2.5吨、氨氮0.733吨</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无</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对污染物的处理</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锅炉废气：使用燃气锅炉，采用清洁能源天然气。</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灼烧、焙烧废气：旋风除尘、三段水喷淋、静电除尘处理后，经过在线设备进行监测排放。所有设备处于正常运行状态。</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酸溶车间废气：碱液喷淋、排气筒外排，处于正常运行状态。</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盐酸入库废气：碱液喷淋、排气筒外排，处于正常运行状态。</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沉淀、萃取车间废气：碱液喷淋、排气筒外排，处于正常运行状态。</w:t>
      </w:r>
    </w:p>
    <w:p>
      <w:pPr>
        <w:spacing w:before="40" w:after="40"/>
        <w:ind w:firstLine="360" w:firstLineChars="200"/>
        <w:rPr>
          <w:rFonts w:ascii="宋体" w:hAnsi="宋体" w:eastAsia="宋体" w:cs="宋体"/>
          <w:sz w:val="18"/>
          <w:szCs w:val="18"/>
        </w:rPr>
      </w:pPr>
      <w:r>
        <w:rPr>
          <w:rFonts w:ascii="宋体" w:hAnsi="宋体" w:eastAsia="宋体" w:cs="宋体"/>
          <w:sz w:val="18"/>
          <w:szCs w:val="18"/>
        </w:rPr>
        <w:t>环境自行监测方案</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天和永磁制定了自行监测方案，在方案中明确了企业污染物的产生及处理情况、污染物排放方式及排放去向、监测点位、监测指标及监测频次等内容，按方案对外排污染物进行监测。环境监测方案已通过全国污染源监测信息管理与共享平台完成环境监测方案申报，并经赣州市章贡生态环境局备案。 </w:t>
      </w:r>
    </w:p>
    <w:p>
      <w:pPr>
        <w:spacing w:before="100" w:after="100" w:line="240" w:lineRule="exact"/>
        <w:rPr>
          <w:rFonts w:ascii="宋体" w:hAnsi="宋体" w:eastAsia="宋体" w:cs="宋体"/>
          <w:sz w:val="18"/>
          <w:szCs w:val="18"/>
        </w:rPr>
      </w:pPr>
      <w:r>
        <w:rPr>
          <w:rFonts w:ascii="宋体" w:hAnsi="宋体" w:eastAsia="宋体" w:cs="宋体"/>
          <w:sz w:val="18"/>
          <w:szCs w:val="18"/>
        </w:rPr>
        <w:t>突发环境事件应急预案</w:t>
      </w:r>
    </w:p>
    <w:p>
      <w:pPr>
        <w:spacing w:before="40" w:after="40"/>
        <w:ind w:firstLine="360" w:firstLineChars="200"/>
      </w:pPr>
      <w:r>
        <w:rPr>
          <w:rFonts w:hint="eastAsia" w:ascii="宋体" w:hAnsi="宋体" w:eastAsia="宋体" w:cs="宋体"/>
          <w:sz w:val="18"/>
          <w:szCs w:val="18"/>
        </w:rPr>
        <w:t>为有效应对各类突发环境事件，及时预防、控制和消除突发性环境污染事件的危害，天和永磁编制有突发环境事件综合应急预案，该突发环境事件综合应急预案经赣州市章贡生态环境局备案，备案编号：</w:t>
      </w:r>
      <w:r>
        <w:rPr>
          <w:rFonts w:ascii="宋体" w:hAnsi="宋体" w:eastAsia="宋体" w:cs="宋体"/>
          <w:sz w:val="18"/>
          <w:szCs w:val="18"/>
        </w:rPr>
        <w:t>360702-2022-001-L</w:t>
      </w:r>
      <w:r>
        <w:rPr>
          <w:rFonts w:hint="eastAsia" w:ascii="宋体" w:hAnsi="宋体" w:eastAsia="宋体" w:cs="宋体"/>
          <w:sz w:val="18"/>
          <w:szCs w:val="18"/>
        </w:rPr>
        <w:t>，并按相关规定要求组织进行应急演练。</w:t>
      </w:r>
      <w:r>
        <w:rPr>
          <w:rFonts w:hint="eastAsia"/>
        </w:rPr>
        <w:t> </w:t>
      </w:r>
    </w:p>
    <w:p>
      <w:pPr>
        <w:spacing w:before="100" w:after="100" w:line="240" w:lineRule="exact"/>
        <w:rPr>
          <w:rFonts w:ascii="宋体" w:hAnsi="宋体" w:eastAsia="宋体" w:cs="宋体"/>
          <w:sz w:val="18"/>
          <w:szCs w:val="18"/>
        </w:rPr>
      </w:pPr>
      <w:r>
        <w:rPr>
          <w:rFonts w:ascii="宋体" w:hAnsi="宋体" w:eastAsia="宋体" w:cs="宋体"/>
          <w:sz w:val="18"/>
          <w:szCs w:val="18"/>
        </w:rPr>
        <w:t>环境治理和保护的投入及缴纳环境保护税的相关情况</w:t>
      </w:r>
    </w:p>
    <w:p>
      <w:pPr>
        <w:spacing w:before="40" w:after="40"/>
        <w:ind w:firstLine="360" w:firstLineChars="200"/>
        <w:rPr>
          <w:rFonts w:ascii="宋体" w:hAnsi="宋体" w:eastAsia="宋体" w:cs="宋体"/>
          <w:sz w:val="18"/>
          <w:szCs w:val="18"/>
        </w:rPr>
      </w:pPr>
      <w:r>
        <w:rPr>
          <w:rFonts w:hint="eastAsia" w:cs="Times New Roman"/>
          <w:sz w:val="18"/>
          <w:szCs w:val="18"/>
        </w:rPr>
        <w:t> </w:t>
      </w:r>
      <w:r>
        <w:rPr>
          <w:rFonts w:ascii="宋体" w:hAnsi="宋体" w:eastAsia="宋体" w:cs="宋体"/>
          <w:sz w:val="18"/>
          <w:szCs w:val="18"/>
        </w:rPr>
        <w:t>天和永磁先后实施了工艺废水污污分流工程、废水处理装置完善改造工程、酸溶装置酸性气收集处理装置技术改造工程、萃取车间废气净化工程、焙烧窑废气治理装置等工程，实际废水、废气等污染物排放量均在核定范围内，同时新增焙烧烟气处理系统，烟气污染物、二氧化硫等排放量明显降低。此外，天和永磁还全面实施锅炉、灼烧窑、焙烧窑煤改气工程，全部使用清洁能源，大大减少了废气、废渣的排放。报告期污染物全年排放达标，未发生任何环保事故，通过各项环保检查，环保设施运行良好；全年共缴纳环境保护税7,263.95元。</w:t>
      </w:r>
    </w:p>
    <w:p>
      <w:pPr>
        <w:spacing w:before="100" w:after="100" w:line="240" w:lineRule="exact"/>
        <w:rPr>
          <w:rFonts w:ascii="宋体" w:hAnsi="宋体" w:eastAsia="宋体" w:cs="宋体"/>
          <w:sz w:val="18"/>
          <w:szCs w:val="18"/>
        </w:rPr>
      </w:pPr>
    </w:p>
    <w:p>
      <w:pPr>
        <w:spacing w:before="100" w:after="100" w:line="240" w:lineRule="exact"/>
        <w:rPr>
          <w:rFonts w:ascii="宋体" w:hAnsi="宋体" w:eastAsia="宋体" w:cs="宋体"/>
          <w:sz w:val="18"/>
          <w:szCs w:val="18"/>
        </w:rPr>
      </w:pPr>
      <w:r>
        <w:rPr>
          <w:rFonts w:ascii="宋体" w:hAnsi="宋体" w:eastAsia="宋体" w:cs="宋体"/>
          <w:sz w:val="18"/>
          <w:szCs w:val="18"/>
        </w:rPr>
        <w:t>在报告期内为减少其碳排放所采取的措施及效果</w:t>
      </w:r>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spacing w:before="40" w:after="40"/>
        <w:ind w:firstLine="360" w:firstLineChars="200"/>
        <w:rPr>
          <w:rFonts w:ascii="宋体" w:hAnsi="宋体" w:eastAsia="宋体" w:cs="Times New Roman"/>
          <w:sz w:val="18"/>
          <w:szCs w:val="18"/>
        </w:rPr>
      </w:pPr>
      <w:r>
        <w:rPr>
          <w:rFonts w:hint="eastAsia" w:ascii="宋体" w:hAnsi="宋体" w:eastAsia="宋体" w:cs="Times New Roman"/>
          <w:sz w:val="18"/>
          <w:szCs w:val="18"/>
        </w:rPr>
        <w:t>近年来及报告期内，公司就减少碳排放所采取的措施主要有：一是在行业内积极推广使用基于锻压拉伸和焊接工艺的不锈钢水表表壳。不锈钢水表表壳，一方面不会对水质造成二次污染，保障居民饮用水安全；另一方面其生产过程相对节能环保，可以降低能源消耗，减少对环境的污染和碳排放。二是在公司厂区的厂房屋面设计、建设太阳能光伏发电站，公司用电约</w:t>
      </w:r>
      <w:r>
        <w:rPr>
          <w:rFonts w:ascii="宋体" w:hAnsi="宋体" w:eastAsia="宋体" w:cs="Times New Roman"/>
          <w:sz w:val="18"/>
          <w:szCs w:val="18"/>
        </w:rPr>
        <w:t>70%</w:t>
      </w:r>
      <w:r>
        <w:rPr>
          <w:rFonts w:hint="eastAsia" w:ascii="宋体" w:hAnsi="宋体" w:eastAsia="宋体" w:cs="Times New Roman"/>
          <w:sz w:val="18"/>
          <w:szCs w:val="18"/>
        </w:rPr>
        <w:t>左右源自于光伏发电，</w:t>
      </w:r>
      <w:r>
        <w:rPr>
          <w:rFonts w:ascii="宋体" w:hAnsi="宋体" w:eastAsia="宋体" w:cs="Times New Roman"/>
          <w:sz w:val="18"/>
          <w:szCs w:val="18"/>
        </w:rPr>
        <w:t>30%</w:t>
      </w:r>
      <w:r>
        <w:rPr>
          <w:rFonts w:hint="eastAsia" w:ascii="宋体" w:hAnsi="宋体" w:eastAsia="宋体" w:cs="Times New Roman"/>
          <w:sz w:val="18"/>
          <w:szCs w:val="18"/>
        </w:rPr>
        <w:t>左右源自于国家电网供电，实现大部分用电自给，减少企业用电对生态环境所带来的影响。三是在公司厂区内合理规划、种植树木，绿化覆盖率达到</w:t>
      </w:r>
      <w:r>
        <w:rPr>
          <w:rFonts w:ascii="宋体" w:hAnsi="宋体" w:eastAsia="宋体" w:cs="Times New Roman"/>
          <w:sz w:val="18"/>
          <w:szCs w:val="18"/>
        </w:rPr>
        <w:t>40%</w:t>
      </w:r>
      <w:r>
        <w:rPr>
          <w:rFonts w:hint="eastAsia" w:ascii="宋体" w:hAnsi="宋体" w:eastAsia="宋体" w:cs="Times New Roman"/>
          <w:sz w:val="18"/>
          <w:szCs w:val="18"/>
        </w:rPr>
        <w:t>以上，既美化了环境，也起到了减少碳排放的实际效果。此外，公司还严格管控各个生产与办公区域的空调温度设置，在厂区内全面使用节能灯泡，充分实现网络化、信息化办公系统，减少能源消耗和纸张使用，节约各类资源，建设节约型企业，实现可持续发展，促进生态效益、经济效益和社会效益的和谐统一。</w:t>
      </w:r>
    </w:p>
    <w:p>
      <w:pPr>
        <w:spacing w:before="100" w:after="100" w:line="240" w:lineRule="exact"/>
        <w:rPr>
          <w:rFonts w:ascii="宋体" w:hAnsi="宋体" w:eastAsia="宋体" w:cs="宋体"/>
          <w:sz w:val="18"/>
          <w:szCs w:val="18"/>
        </w:rPr>
      </w:pPr>
    </w:p>
    <w:p>
      <w:pPr>
        <w:spacing w:before="100" w:after="100" w:line="240" w:lineRule="exact"/>
        <w:rPr>
          <w:rFonts w:ascii="宋体" w:hAnsi="宋体" w:eastAsia="宋体" w:cs="宋体"/>
          <w:sz w:val="18"/>
          <w:szCs w:val="18"/>
        </w:rPr>
      </w:pPr>
      <w:r>
        <w:rPr>
          <w:rFonts w:ascii="宋体" w:hAnsi="宋体" w:eastAsia="宋体" w:cs="宋体"/>
          <w:sz w:val="18"/>
          <w:szCs w:val="18"/>
        </w:rPr>
        <w:t>报告期内因环境问题受到行政处罚的情况</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7"/>
        <w:gridCol w:w="1607"/>
        <w:gridCol w:w="160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公司或子公司名称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处罚原因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违规情形</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处罚结果</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对上市公司生产经营的影响</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公司的整改措施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无</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其他应当公开的环境信息</w:t>
      </w:r>
    </w:p>
    <w:p>
      <w:pPr>
        <w:spacing w:before="40" w:after="40"/>
        <w:rPr>
          <w:rFonts w:ascii="宋体" w:hAnsi="宋体" w:eastAsia="宋体" w:cs="Times New Roman"/>
          <w:sz w:val="18"/>
          <w:szCs w:val="18"/>
        </w:rPr>
      </w:pPr>
      <w:r>
        <w:rPr>
          <w:rFonts w:hint="eastAsia" w:ascii="宋体" w:hAnsi="宋体" w:eastAsia="宋体" w:cs="Times New Roman"/>
          <w:sz w:val="18"/>
          <w:szCs w:val="18"/>
        </w:rPr>
        <w:t>不适用</w:t>
      </w:r>
    </w:p>
    <w:p>
      <w:pPr>
        <w:spacing w:before="100" w:after="100" w:line="240" w:lineRule="exact"/>
        <w:rPr>
          <w:rFonts w:ascii="宋体" w:hAnsi="宋体" w:eastAsia="宋体" w:cs="宋体"/>
          <w:sz w:val="18"/>
          <w:szCs w:val="18"/>
        </w:rPr>
      </w:pPr>
    </w:p>
    <w:p>
      <w:pPr>
        <w:spacing w:before="100" w:after="100" w:line="240" w:lineRule="exact"/>
        <w:rPr>
          <w:rFonts w:ascii="宋体" w:hAnsi="宋体" w:eastAsia="宋体" w:cs="宋体"/>
          <w:sz w:val="18"/>
          <w:szCs w:val="18"/>
        </w:rPr>
      </w:pPr>
      <w:r>
        <w:rPr>
          <w:rFonts w:ascii="宋体" w:hAnsi="宋体" w:eastAsia="宋体" w:cs="宋体"/>
          <w:sz w:val="18"/>
          <w:szCs w:val="18"/>
        </w:rPr>
        <w:t>其他环保相关信息</w:t>
      </w:r>
    </w:p>
    <w:p>
      <w:pPr>
        <w:spacing w:before="40" w:after="40"/>
        <w:ind w:firstLine="360" w:firstLineChars="200"/>
        <w:rPr>
          <w:rFonts w:ascii="宋体" w:hAnsi="宋体" w:eastAsia="宋体" w:cs="Times New Roman"/>
          <w:sz w:val="18"/>
          <w:szCs w:val="18"/>
        </w:rPr>
      </w:pPr>
      <w:r>
        <w:rPr>
          <w:rFonts w:hint="eastAsia" w:ascii="宋体" w:hAnsi="宋体" w:eastAsia="宋体" w:cs="Times New Roman"/>
          <w:sz w:val="18"/>
          <w:szCs w:val="18"/>
        </w:rPr>
        <w:t>报告期内，公司认真贯彻执行国家有关环境保护法律、法规和标准，遵循ISO14001环境管理体系认证要求，始终坚持保护环境、协调发展、绿色生产的方针，严格按照完善的管理程序和控制程序，加强对周边环境、生产环境的保护，创造清洁适宜的生活和工作场所。对机加工过程中产生的噪声通过添置自动化新设备，在噪声源上进行整改，并使用减震垫和隔音玻璃进行缓解和屏蔽；对生产过程中产生的有机废气和烟尘通过废气处理装置回收处理，处理达标后通过15米高排气筒排放，有效防止废气、烟尘污染环境。对一般固废暂存于固废间，收集后外售综合利用；对废旧锂电池等危险固废，收集后暂存于危废暂存间，委托有危废处理资质的单位定期处理。生产废水经公司初步处理达标后与运营期间产生的生活污水通过污水管网排入污水处理厂进行处理，产生的生活垃圾经由公司聘请的专职清洁员进行打包后交由专业公司统一处理和回收利用。报告期内，公司一直使用桶与胶完全隔离的方式处理灌胶桶，做到了既环保又可二次利用，在节约成本的同时减少了对环境的污染。</w:t>
      </w:r>
    </w:p>
    <w:p>
      <w:pPr>
        <w:pStyle w:val="3"/>
        <w:spacing w:before="300" w:after="300" w:line="320" w:lineRule="exact"/>
        <w:rPr>
          <w:rFonts w:ascii="宋体" w:hAnsi="宋体" w:eastAsia="宋体" w:cs="宋体"/>
          <w:b/>
          <w:bCs/>
          <w:sz w:val="24"/>
          <w:szCs w:val="24"/>
        </w:rPr>
      </w:pPr>
      <w:bookmarkStart w:id="89" w:name="_Toc988976"/>
      <w:r>
        <w:rPr>
          <w:rFonts w:ascii="宋体" w:hAnsi="宋体" w:eastAsia="宋体" w:cs="宋体"/>
          <w:b/>
          <w:bCs/>
          <w:sz w:val="24"/>
          <w:szCs w:val="24"/>
        </w:rPr>
        <w:t>二、社会责任情况</w:t>
      </w:r>
      <w:bookmarkEnd w:id="89"/>
    </w:p>
    <w:p>
      <w:pPr>
        <w:pStyle w:val="11"/>
        <w:spacing w:before="0" w:beforeAutospacing="0" w:after="0" w:afterAutospacing="0"/>
      </w:pPr>
      <w:r>
        <w:rPr>
          <w:rFonts w:hint="eastAsia"/>
          <w:sz w:val="18"/>
          <w:szCs w:val="18"/>
        </w:rPr>
        <w:t>详情请参阅公司同日披露的《三川智慧科技股份有限公司2022年度社会责任报告》。</w:t>
      </w:r>
    </w:p>
    <w:p>
      <w:pPr>
        <w:pStyle w:val="3"/>
        <w:spacing w:before="300" w:after="300" w:line="320" w:lineRule="exact"/>
        <w:rPr>
          <w:rFonts w:ascii="宋体" w:hAnsi="宋体" w:eastAsia="宋体" w:cs="宋体"/>
          <w:b/>
          <w:bCs/>
          <w:sz w:val="24"/>
          <w:szCs w:val="24"/>
        </w:rPr>
      </w:pPr>
      <w:bookmarkStart w:id="90" w:name="_Toc988977"/>
      <w:r>
        <w:rPr>
          <w:rFonts w:ascii="宋体" w:hAnsi="宋体" w:eastAsia="宋体" w:cs="宋体"/>
          <w:b/>
          <w:bCs/>
          <w:sz w:val="24"/>
          <w:szCs w:val="24"/>
        </w:rPr>
        <w:t>三、巩固拓展脱贫攻坚成果、乡村振兴的情况</w:t>
      </w:r>
      <w:bookmarkEnd w:id="90"/>
    </w:p>
    <w:p>
      <w:pPr>
        <w:pStyle w:val="11"/>
        <w:rPr>
          <w:sz w:val="18"/>
          <w:szCs w:val="18"/>
        </w:rPr>
      </w:pPr>
      <w:r>
        <w:rPr>
          <w:rFonts w:hint="eastAsia"/>
          <w:sz w:val="18"/>
          <w:szCs w:val="18"/>
        </w:rPr>
        <w:t>不适用</w:t>
      </w:r>
    </w:p>
    <w:p>
      <w:r>
        <w:br w:type="page"/>
      </w:r>
    </w:p>
    <w:p>
      <w:pPr>
        <w:pStyle w:val="20"/>
        <w:spacing w:before="340" w:after="330" w:line="773" w:lineRule="exact"/>
        <w:jc w:val="center"/>
        <w:rPr>
          <w:rFonts w:ascii="宋体" w:hAnsi="宋体" w:eastAsia="宋体" w:cs="宋体"/>
          <w:b/>
          <w:bCs/>
          <w:sz w:val="32"/>
          <w:szCs w:val="32"/>
        </w:rPr>
      </w:pPr>
      <w:bookmarkStart w:id="91" w:name="_Toc988978"/>
      <w:r>
        <w:rPr>
          <w:rFonts w:ascii="宋体" w:hAnsi="宋体" w:eastAsia="宋体" w:cs="宋体"/>
          <w:b/>
          <w:bCs/>
          <w:sz w:val="32"/>
          <w:szCs w:val="32"/>
        </w:rPr>
        <w:t>第六节 重要事项</w:t>
      </w:r>
      <w:bookmarkEnd w:id="91"/>
    </w:p>
    <w:p>
      <w:pPr>
        <w:pStyle w:val="3"/>
        <w:spacing w:before="300" w:after="300" w:line="320" w:lineRule="exact"/>
        <w:rPr>
          <w:rFonts w:ascii="宋体" w:hAnsi="宋体" w:eastAsia="宋体" w:cs="宋体"/>
          <w:b/>
          <w:bCs/>
          <w:sz w:val="24"/>
          <w:szCs w:val="24"/>
        </w:rPr>
      </w:pPr>
      <w:bookmarkStart w:id="92" w:name="_Toc988979"/>
      <w:r>
        <w:rPr>
          <w:rFonts w:ascii="宋体" w:hAnsi="宋体" w:eastAsia="宋体" w:cs="宋体"/>
          <w:b/>
          <w:bCs/>
          <w:sz w:val="24"/>
          <w:szCs w:val="24"/>
        </w:rPr>
        <w:t>一、承诺事项履行情况</w:t>
      </w:r>
      <w:bookmarkEnd w:id="92"/>
    </w:p>
    <w:p>
      <w:pPr>
        <w:pStyle w:val="4"/>
        <w:spacing w:line="280" w:lineRule="exact"/>
        <w:jc w:val="left"/>
        <w:rPr>
          <w:rFonts w:ascii="宋体" w:hAnsi="宋体" w:cs="宋体"/>
          <w:b/>
          <w:bCs/>
        </w:rPr>
      </w:pPr>
      <w:bookmarkStart w:id="93" w:name="_Toc988980"/>
      <w:r>
        <w:rPr>
          <w:rFonts w:ascii="宋体" w:hAnsi="宋体" w:cs="宋体"/>
          <w:b/>
          <w:bCs/>
        </w:rPr>
        <w:t>1、公司实际控制人、股东、关联方、收购人以及公司等承诺相关方在报告期内履行完毕及截至报告期末尚未履行完毕的承诺事项</w:t>
      </w:r>
      <w:bookmarkEnd w:id="93"/>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750"/>
        <w:gridCol w:w="708"/>
        <w:gridCol w:w="4678"/>
        <w:gridCol w:w="709"/>
        <w:gridCol w:w="709"/>
        <w:gridCol w:w="70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承诺事由</w:t>
            </w:r>
          </w:p>
        </w:tc>
        <w:tc>
          <w:tcPr>
            <w:tcW w:w="75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承诺方</w:t>
            </w:r>
          </w:p>
        </w:tc>
        <w:tc>
          <w:tcPr>
            <w:tcW w:w="70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承诺类型</w:t>
            </w:r>
          </w:p>
        </w:tc>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承诺内容</w:t>
            </w:r>
          </w:p>
        </w:tc>
        <w:tc>
          <w:tcPr>
            <w:tcW w:w="70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承诺时间</w:t>
            </w:r>
          </w:p>
        </w:tc>
        <w:tc>
          <w:tcPr>
            <w:tcW w:w="70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承诺期限</w:t>
            </w:r>
          </w:p>
        </w:tc>
        <w:tc>
          <w:tcPr>
            <w:tcW w:w="70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履行情况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首次公开发行或再融资时所作承诺</w:t>
            </w:r>
          </w:p>
        </w:tc>
        <w:tc>
          <w:tcPr>
            <w:tcW w:w="75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江西三川集团有限公司;李建林;李强祖;童保华;宋财华;吴雪松</w:t>
            </w:r>
          </w:p>
        </w:tc>
        <w:tc>
          <w:tcPr>
            <w:tcW w:w="7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关于同业竞争、关联交易、资金占用方面的承诺</w:t>
            </w:r>
          </w:p>
        </w:tc>
        <w:tc>
          <w:tcPr>
            <w:tcW w:w="467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一、资金占用方面承诺：不以任何方式（包括但不限于有偿拆借、无偿拆借、要求三川股份为三川集团及三川集团控制公司开具没有真实交易背景的商业承兑汇票）占用三川股份资金。二、同业竞争方面承诺：（1）将不从事与三川股份生产经营有相同或类似业务的投资，不会新设或收购从事与三川股份有相同或类似业务的子公司、分公司等经营性机构，不在中国境内或境外成立、经营、发展或协助成立、经营、发展任何与三川股份业务直接或可能竞争的业务、企业、项目或其他任何活动，以避免与三川股份的生产经营构成新的、可能的直接或间接的业务竞争。（2）无论是由自身研究开发的、或从国外引进、或与他人合作开发的与三川股份生产、经营有关的新技术、新产品，三川股份均有优先受让、生产的权利。（3）如拟出售与三川股份生产、经营相关的任何其他资产、业务或权益，三川股份均有优先购买的权利；三川集团承诺在出售或转让有关资产或业务时给予三川股份的条件不逊于向任何独立第三方提供的条件。（4）如三川股份进一步拓展其产品和业务范围，承诺将不与三川股份拓展后的产品或业务相竞争；若出现可能与三川股份拓展后的产品或业务产生竞争的情形，按包括但不限于以下方式退出与三川股份的竞争：A停止生产构成竞争或可能构成竞争的产品；B停止经营构成竞争或可能构成竞争的业务；C将相竞争的资产或业务以合法方式置入三川股份；D将相竞争的资产或业务转让给无关联的第三方；E采取其他对维护三川股份权益有利的行动以消除同业竞争。</w:t>
            </w:r>
          </w:p>
        </w:tc>
        <w:tc>
          <w:tcPr>
            <w:tcW w:w="70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2010年03月16日</w:t>
            </w:r>
          </w:p>
        </w:tc>
        <w:tc>
          <w:tcPr>
            <w:tcW w:w="70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见承诺内容</w:t>
            </w:r>
          </w:p>
        </w:tc>
        <w:tc>
          <w:tcPr>
            <w:tcW w:w="70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正在履行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承诺是否按时履行</w:t>
            </w:r>
          </w:p>
        </w:tc>
        <w:tc>
          <w:tcPr>
            <w:tcW w:w="8262" w:type="dxa"/>
            <w:gridSpan w:val="6"/>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如承诺超期未履行完毕的，应当详细说明未完成履行的具体原因及下一步的工作计划</w:t>
            </w:r>
          </w:p>
        </w:tc>
        <w:tc>
          <w:tcPr>
            <w:tcW w:w="8262" w:type="dxa"/>
            <w:gridSpan w:val="6"/>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r>
    </w:tbl>
    <w:p>
      <w:pPr>
        <w:pStyle w:val="4"/>
        <w:spacing w:line="280" w:lineRule="exact"/>
        <w:jc w:val="left"/>
        <w:rPr>
          <w:rFonts w:ascii="宋体" w:hAnsi="宋体" w:cs="宋体"/>
          <w:b/>
          <w:bCs/>
        </w:rPr>
      </w:pPr>
      <w:bookmarkStart w:id="94" w:name="_Toc988981"/>
      <w:r>
        <w:rPr>
          <w:rFonts w:ascii="宋体" w:hAnsi="宋体" w:cs="宋体"/>
          <w:b/>
          <w:bCs/>
        </w:rPr>
        <w:t>2、公司资产或项目存在盈利预测，且报告期仍处在盈利预测期间，公司就资产或项目达到原盈利预测及其原因做出说明</w:t>
      </w:r>
      <w:bookmarkEnd w:id="94"/>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95" w:name="_Toc988982"/>
      <w:r>
        <w:rPr>
          <w:rFonts w:ascii="宋体" w:hAnsi="宋体" w:eastAsia="宋体" w:cs="宋体"/>
          <w:b/>
          <w:bCs/>
          <w:sz w:val="24"/>
          <w:szCs w:val="24"/>
        </w:rPr>
        <w:t>二、控股股东及其他关联方对上市公司的非经营性占用资金情况</w:t>
      </w:r>
      <w:bookmarkEnd w:id="95"/>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spacing w:before="40" w:after="40" w:line="240" w:lineRule="exact"/>
        <w:rPr>
          <w:rFonts w:ascii="宋体" w:hAnsi="宋体" w:eastAsia="宋体" w:cs="宋体"/>
          <w:sz w:val="18"/>
          <w:szCs w:val="18"/>
        </w:rPr>
      </w:pPr>
      <w:r>
        <w:rPr>
          <w:rFonts w:ascii="宋体" w:hAnsi="宋体" w:eastAsia="宋体" w:cs="宋体"/>
          <w:sz w:val="18"/>
          <w:szCs w:val="18"/>
        </w:rPr>
        <w:t>公司报告期不存在控股股东及其他关联方对上市公司的非经营性占用资金。</w:t>
      </w:r>
    </w:p>
    <w:p>
      <w:pPr>
        <w:pStyle w:val="3"/>
        <w:spacing w:before="300" w:after="300" w:line="320" w:lineRule="exact"/>
        <w:rPr>
          <w:rFonts w:ascii="宋体" w:hAnsi="宋体" w:eastAsia="宋体" w:cs="宋体"/>
          <w:b/>
          <w:bCs/>
          <w:sz w:val="24"/>
          <w:szCs w:val="24"/>
        </w:rPr>
      </w:pPr>
      <w:bookmarkStart w:id="96" w:name="_Toc988983"/>
      <w:r>
        <w:rPr>
          <w:rFonts w:ascii="宋体" w:hAnsi="宋体" w:eastAsia="宋体" w:cs="宋体"/>
          <w:b/>
          <w:bCs/>
          <w:sz w:val="24"/>
          <w:szCs w:val="24"/>
        </w:rPr>
        <w:t>三、违规对外担保情况</w:t>
      </w:r>
      <w:bookmarkEnd w:id="96"/>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公司报告期无违规对外担保情况。</w:t>
      </w:r>
    </w:p>
    <w:p>
      <w:pPr>
        <w:pStyle w:val="3"/>
        <w:spacing w:before="300" w:after="300" w:line="320" w:lineRule="exact"/>
        <w:rPr>
          <w:rFonts w:ascii="宋体" w:hAnsi="宋体" w:eastAsia="宋体" w:cs="宋体"/>
          <w:b/>
          <w:bCs/>
          <w:sz w:val="24"/>
          <w:szCs w:val="24"/>
        </w:rPr>
      </w:pPr>
      <w:bookmarkStart w:id="97" w:name="_Toc988984"/>
      <w:r>
        <w:rPr>
          <w:rFonts w:ascii="宋体" w:hAnsi="宋体" w:eastAsia="宋体" w:cs="宋体"/>
          <w:b/>
          <w:bCs/>
          <w:sz w:val="24"/>
          <w:szCs w:val="24"/>
        </w:rPr>
        <w:t>四、董事会对最近一期“非标准审计报告”相关情况的说明</w:t>
      </w:r>
      <w:bookmarkEnd w:id="97"/>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98" w:name="_Toc988985"/>
      <w:r>
        <w:rPr>
          <w:rFonts w:ascii="宋体" w:hAnsi="宋体" w:eastAsia="宋体" w:cs="宋体"/>
          <w:b/>
          <w:bCs/>
          <w:sz w:val="24"/>
          <w:szCs w:val="24"/>
        </w:rPr>
        <w:t>五、董事会、监事会、独立董事（如有）对会计师事务所本报告期“非标准审计报告”的说明</w:t>
      </w:r>
      <w:bookmarkEnd w:id="98"/>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99" w:name="_Toc988986"/>
      <w:r>
        <w:rPr>
          <w:rFonts w:ascii="宋体" w:hAnsi="宋体" w:eastAsia="宋体" w:cs="宋体"/>
          <w:b/>
          <w:bCs/>
          <w:sz w:val="24"/>
          <w:szCs w:val="24"/>
        </w:rPr>
        <w:t>六、董事会关于报告期会计政策、会计估计变更或重大会计差错更正的说明</w:t>
      </w:r>
      <w:bookmarkEnd w:id="99"/>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pStyle w:val="11"/>
        <w:spacing w:before="40" w:beforeAutospacing="0" w:after="40" w:afterAutospacing="0"/>
        <w:ind w:firstLine="363"/>
        <w:rPr>
          <w:rFonts w:ascii="Times New Roman" w:hAnsi="Times New Roman" w:cs="Times New Roman"/>
          <w:sz w:val="21"/>
          <w:szCs w:val="21"/>
        </w:rPr>
      </w:pPr>
      <w:r>
        <w:rPr>
          <w:rFonts w:cs="Times New Roman"/>
          <w:sz w:val="18"/>
          <w:szCs w:val="18"/>
        </w:rPr>
        <w:t>1</w:t>
      </w:r>
      <w:r>
        <w:rPr>
          <w:rFonts w:hint="eastAsia" w:cs="Times New Roman"/>
          <w:sz w:val="18"/>
          <w:szCs w:val="18"/>
        </w:rPr>
        <w:t>、2021年11月1日，财政部会计司发布了针对《企业会计准则第14号——收入》的实施问答，指出“通常情况下，企业商品或服务的控制权转移给客户之前、为了履行客户合同而发生的运输活动不构成单项履约义务，相关运输成本应当作为合同履约成本，采用与商品或服务收入确认相同的基础进行摊销计入当期损益。该合同履约成本应当在确认商品或服务收入时结转计入“主营业务成本”或“其他业务成本”科目，并在利润表“营业成本”项目中列示”。</w:t>
      </w:r>
    </w:p>
    <w:p>
      <w:pPr>
        <w:pStyle w:val="11"/>
        <w:spacing w:before="40" w:beforeAutospacing="0" w:after="40" w:afterAutospacing="0"/>
        <w:ind w:firstLine="363"/>
        <w:rPr>
          <w:rFonts w:cs="Times New Roman"/>
          <w:sz w:val="18"/>
          <w:szCs w:val="18"/>
        </w:rPr>
      </w:pPr>
      <w:r>
        <w:rPr>
          <w:rFonts w:hint="eastAsia" w:cs="Times New Roman"/>
          <w:sz w:val="18"/>
          <w:szCs w:val="18"/>
        </w:rPr>
        <w:t>根据上述实施解答，公司于2021年1月1日起将为履行客户销售合同而发生的运输成本从“销售费用” 重分类至“营业成本”，并追溯调整2020年财务报表相关科目。本次变更会计政策不会对公司营业收入、净利润、净资产及其他重要财务指标产生影响，也不会对公司财务报告产生重大影响。</w:t>
      </w:r>
    </w:p>
    <w:p>
      <w:pPr>
        <w:pStyle w:val="11"/>
        <w:spacing w:before="40" w:beforeAutospacing="0" w:after="40" w:afterAutospacing="0"/>
        <w:ind w:firstLine="363"/>
        <w:rPr>
          <w:rFonts w:cs="Times New Roman"/>
          <w:sz w:val="18"/>
          <w:szCs w:val="18"/>
        </w:rPr>
      </w:pPr>
      <w:r>
        <w:rPr>
          <w:rFonts w:cs="Times New Roman"/>
          <w:sz w:val="18"/>
          <w:szCs w:val="18"/>
        </w:rPr>
        <w:t>2</w:t>
      </w:r>
      <w:r>
        <w:rPr>
          <w:rFonts w:hint="eastAsia" w:cs="Times New Roman"/>
          <w:sz w:val="18"/>
          <w:szCs w:val="18"/>
        </w:rPr>
        <w:t>、财政部于</w:t>
      </w:r>
      <w:r>
        <w:rPr>
          <w:rFonts w:cs="Times New Roman"/>
          <w:sz w:val="18"/>
          <w:szCs w:val="18"/>
        </w:rPr>
        <w:t>2021年12月30日发布了《企业会计准则解释第15号》（财会[ 2021]35号），该解释“关于企业将固定资产达到预定可使用状态前或者研发过程中产出的产品或副产品对外销售的会计处理”、“关于亏损合同的判断” 内容自2022年1月1日起施行，“关于资金集中管理相关列报”内容自公布之日起施行。</w:t>
      </w:r>
    </w:p>
    <w:p>
      <w:pPr>
        <w:pStyle w:val="11"/>
        <w:spacing w:before="40" w:beforeAutospacing="0" w:after="40" w:afterAutospacing="0"/>
        <w:ind w:firstLine="363"/>
        <w:rPr>
          <w:rFonts w:cs="Times New Roman"/>
          <w:sz w:val="18"/>
          <w:szCs w:val="18"/>
        </w:rPr>
      </w:pPr>
      <w:r>
        <w:rPr>
          <w:rFonts w:hint="eastAsia" w:cs="Times New Roman"/>
          <w:sz w:val="18"/>
          <w:szCs w:val="18"/>
        </w:rPr>
        <w:t>财政部于</w:t>
      </w:r>
      <w:r>
        <w:rPr>
          <w:rFonts w:cs="Times New Roman"/>
          <w:sz w:val="18"/>
          <w:szCs w:val="18"/>
        </w:rPr>
        <w:t>2022年11月30日发布了《企业会计准则解释第16号》（财会[2022]31号），该解释“关于单项交易产生的资产和负债相关的递延所得税不适用初始确认豁免的会计处理”内容自2023年1月1日起施行；“关于发行方分类为权益工具的金融工具相关股利的所得税影响的会计处理”、“关于企业将以现金结算的股份支付修改为以权益结算的股份支付的会计处理”内容自公布之日起施行。</w:t>
      </w:r>
    </w:p>
    <w:p>
      <w:pPr>
        <w:pStyle w:val="11"/>
        <w:spacing w:before="40" w:beforeAutospacing="0" w:after="40" w:afterAutospacing="0"/>
        <w:ind w:firstLine="363"/>
        <w:rPr>
          <w:rFonts w:cs="Times New Roman"/>
          <w:sz w:val="18"/>
          <w:szCs w:val="18"/>
        </w:rPr>
      </w:pPr>
      <w:r>
        <w:rPr>
          <w:rFonts w:hint="eastAsia" w:cs="Times New Roman"/>
          <w:sz w:val="18"/>
          <w:szCs w:val="18"/>
        </w:rPr>
        <w:t>公司根据上述要求对会计政策相关内容进行相应变更（具体内容详见公司《关于会计政策变更公告》。</w:t>
      </w:r>
    </w:p>
    <w:p>
      <w:pPr>
        <w:pStyle w:val="11"/>
        <w:spacing w:before="40" w:beforeAutospacing="0" w:after="40" w:afterAutospacing="0"/>
        <w:ind w:firstLine="363"/>
        <w:rPr>
          <w:rFonts w:cs="Times New Roman"/>
          <w:sz w:val="18"/>
          <w:szCs w:val="18"/>
        </w:rPr>
      </w:pPr>
      <w:r>
        <w:rPr>
          <w:rFonts w:cs="Times New Roman"/>
          <w:sz w:val="18"/>
          <w:szCs w:val="18"/>
        </w:rPr>
        <w:t>2022年3月28公司第六届董事会第二十次会议和第六届监事会第八次会议</w:t>
      </w:r>
      <w:r>
        <w:rPr>
          <w:rFonts w:hint="eastAsia" w:cs="Times New Roman"/>
          <w:sz w:val="18"/>
          <w:szCs w:val="18"/>
        </w:rPr>
        <w:t>、</w:t>
      </w:r>
      <w:r>
        <w:rPr>
          <w:rFonts w:cs="Times New Roman"/>
          <w:sz w:val="18"/>
          <w:szCs w:val="18"/>
        </w:rPr>
        <w:t>2023年3月30日公司第六届董事会第二十七次会议和第六届监事会第十二次会议，</w:t>
      </w:r>
      <w:r>
        <w:rPr>
          <w:rFonts w:hint="eastAsia" w:cs="Times New Roman"/>
          <w:sz w:val="18"/>
          <w:szCs w:val="18"/>
        </w:rPr>
        <w:t>分别</w:t>
      </w:r>
      <w:r>
        <w:rPr>
          <w:rFonts w:cs="Times New Roman"/>
          <w:sz w:val="18"/>
          <w:szCs w:val="18"/>
        </w:rPr>
        <w:t>审议并通过了《关于会计政策变更的议案》。</w:t>
      </w:r>
    </w:p>
    <w:p>
      <w:pPr>
        <w:pStyle w:val="3"/>
        <w:spacing w:before="300" w:after="300" w:line="320" w:lineRule="exact"/>
        <w:rPr>
          <w:rFonts w:ascii="宋体" w:hAnsi="宋体" w:eastAsia="宋体" w:cs="宋体"/>
          <w:b/>
          <w:bCs/>
          <w:sz w:val="24"/>
          <w:szCs w:val="24"/>
        </w:rPr>
      </w:pPr>
      <w:bookmarkStart w:id="100" w:name="_Toc988987"/>
      <w:r>
        <w:rPr>
          <w:rFonts w:ascii="宋体" w:hAnsi="宋体" w:eastAsia="宋体" w:cs="宋体"/>
          <w:b/>
          <w:bCs/>
          <w:sz w:val="24"/>
          <w:szCs w:val="24"/>
        </w:rPr>
        <w:t>七、与上年度财务报告相比，合并报表范围发生变化的情况说明</w:t>
      </w:r>
      <w:bookmarkEnd w:id="100"/>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pStyle w:val="11"/>
        <w:spacing w:before="40" w:beforeAutospacing="0" w:after="40" w:afterAutospacing="0"/>
        <w:ind w:firstLine="363"/>
        <w:rPr>
          <w:rFonts w:cs="Times New Roman"/>
          <w:sz w:val="18"/>
          <w:szCs w:val="18"/>
        </w:rPr>
      </w:pPr>
      <w:r>
        <w:rPr>
          <w:rFonts w:hint="eastAsia"/>
          <w:sz w:val="18"/>
          <w:szCs w:val="18"/>
        </w:rPr>
        <w:t xml:space="preserve">  </w:t>
      </w:r>
      <w:r>
        <w:rPr>
          <w:rFonts w:hint="eastAsia" w:cs="Times New Roman"/>
          <w:sz w:val="18"/>
          <w:szCs w:val="18"/>
        </w:rPr>
        <w:t>报告期内，公司新设全资子公司赣州三川稀土有限责任公司，新设控股子公司赣州川宇国际贸易有限公司，收购赣州天和永磁材料有限公司67%的股权使其成为公司控股子公司，该等公司纳入本报告期合并范围；注销全资子公司江西三川水务有限公司和控股子公司上海三川爱水科技有限公司，不再纳入合并报表范围。</w:t>
      </w:r>
    </w:p>
    <w:p>
      <w:pPr>
        <w:pStyle w:val="3"/>
        <w:spacing w:before="300" w:after="300" w:line="320" w:lineRule="exact"/>
        <w:rPr>
          <w:rFonts w:ascii="宋体" w:hAnsi="宋体" w:eastAsia="宋体" w:cs="宋体"/>
          <w:b/>
          <w:bCs/>
          <w:sz w:val="24"/>
          <w:szCs w:val="24"/>
        </w:rPr>
      </w:pPr>
      <w:bookmarkStart w:id="101" w:name="_Toc988988"/>
      <w:r>
        <w:rPr>
          <w:rFonts w:ascii="宋体" w:hAnsi="宋体" w:eastAsia="宋体" w:cs="宋体"/>
          <w:b/>
          <w:bCs/>
          <w:sz w:val="24"/>
          <w:szCs w:val="24"/>
        </w:rPr>
        <w:t>八、聘任、解聘会计师事务所情况</w:t>
      </w:r>
      <w:bookmarkEnd w:id="101"/>
    </w:p>
    <w:p>
      <w:pPr>
        <w:spacing w:before="40" w:after="40" w:line="240" w:lineRule="exact"/>
        <w:rPr>
          <w:rFonts w:ascii="宋体" w:hAnsi="宋体" w:eastAsia="宋体" w:cs="宋体"/>
          <w:sz w:val="18"/>
          <w:szCs w:val="18"/>
        </w:rPr>
      </w:pPr>
      <w:r>
        <w:rPr>
          <w:rFonts w:ascii="宋体" w:hAnsi="宋体" w:eastAsia="宋体" w:cs="宋体"/>
          <w:sz w:val="18"/>
          <w:szCs w:val="18"/>
        </w:rPr>
        <w:t>现聘任的会计师事务所</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境内会计师事务所名称</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北京兴华会计师事务所（特殊普通合伙）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境内会计师事务所报酬（万元）</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境内会计师事务所审计服务的连续年限</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境内会计师事务所注册会计师姓名</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谭哲、郭成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境内会计师事务所注册会计师审计服务的连续年限</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谭哲4年、郭成1年</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是否改聘会计师事务所</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□是 </w:t>
      </w:r>
      <w:r>
        <w:rPr>
          <w:szCs w:val="24"/>
        </w:rPr>
        <w:t xml:space="preserve">√ </w:t>
      </w:r>
      <w:r>
        <w:rPr>
          <w:rFonts w:ascii="宋体" w:hAnsi="宋体" w:eastAsia="宋体" w:cs="宋体"/>
          <w:sz w:val="18"/>
          <w:szCs w:val="18"/>
        </w:rPr>
        <w:t>否</w:t>
      </w:r>
    </w:p>
    <w:p>
      <w:pPr>
        <w:spacing w:before="100" w:after="100" w:line="240" w:lineRule="exact"/>
        <w:rPr>
          <w:rFonts w:ascii="宋体" w:hAnsi="宋体" w:eastAsia="宋体" w:cs="宋体"/>
          <w:sz w:val="18"/>
          <w:szCs w:val="18"/>
        </w:rPr>
      </w:pPr>
      <w:r>
        <w:rPr>
          <w:rFonts w:ascii="宋体" w:hAnsi="宋体" w:eastAsia="宋体" w:cs="宋体"/>
          <w:sz w:val="18"/>
          <w:szCs w:val="18"/>
        </w:rPr>
        <w:t>聘请内部控制审计会计师事务所、财务顾问或保荐人情况</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102" w:name="_Toc988989"/>
      <w:r>
        <w:rPr>
          <w:rFonts w:ascii="宋体" w:hAnsi="宋体" w:eastAsia="宋体" w:cs="宋体"/>
          <w:b/>
          <w:bCs/>
          <w:sz w:val="24"/>
          <w:szCs w:val="24"/>
        </w:rPr>
        <w:t>九、年度报告披露后面临退市情况</w:t>
      </w:r>
      <w:bookmarkEnd w:id="102"/>
    </w:p>
    <w:p>
      <w:pPr>
        <w:spacing w:before="100" w:after="100" w:line="240" w:lineRule="exact"/>
        <w:rPr>
          <w:rFonts w:ascii="宋体" w:hAnsi="宋体" w:eastAsia="宋体" w:cs="宋体"/>
          <w:sz w:val="18"/>
          <w:szCs w:val="18"/>
        </w:rPr>
      </w:pPr>
      <w:r>
        <w:rPr>
          <w:rFonts w:ascii="宋体" w:hAnsi="宋体" w:eastAsia="宋体" w:cs="宋体"/>
          <w:sz w:val="18"/>
          <w:szCs w:val="18"/>
        </w:rPr>
        <w:t>□适用</w:t>
      </w:r>
      <w:r>
        <w:rPr>
          <w:szCs w:val="24"/>
        </w:rPr>
        <w:t xml:space="preserve">√ </w:t>
      </w: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103" w:name="_Toc988990"/>
      <w:r>
        <w:rPr>
          <w:rFonts w:ascii="宋体" w:hAnsi="宋体" w:eastAsia="宋体" w:cs="宋体"/>
          <w:b/>
          <w:bCs/>
          <w:sz w:val="24"/>
          <w:szCs w:val="24"/>
        </w:rPr>
        <w:t>十、破产重整相关事项</w:t>
      </w:r>
      <w:bookmarkEnd w:id="103"/>
    </w:p>
    <w:p>
      <w:pPr>
        <w:spacing w:before="100" w:after="100" w:line="240" w:lineRule="exact"/>
        <w:rPr>
          <w:rFonts w:ascii="宋体" w:hAnsi="宋体" w:eastAsia="宋体" w:cs="宋体"/>
          <w:sz w:val="18"/>
          <w:szCs w:val="18"/>
        </w:rPr>
      </w:pPr>
      <w:r>
        <w:rPr>
          <w:rFonts w:ascii="宋体" w:hAnsi="宋体" w:eastAsia="宋体" w:cs="宋体"/>
          <w:sz w:val="18"/>
          <w:szCs w:val="18"/>
        </w:rPr>
        <w:t>□适用</w:t>
      </w:r>
      <w:r>
        <w:rPr>
          <w:rFonts w:hint="eastAsia" w:ascii="宋体" w:hAnsi="宋体" w:eastAsia="宋体" w:cs="宋体"/>
          <w:sz w:val="18"/>
          <w:szCs w:val="18"/>
        </w:rPr>
        <w:t xml:space="preserve"> </w:t>
      </w:r>
      <w:r>
        <w:rPr>
          <w:szCs w:val="24"/>
        </w:rPr>
        <w:t xml:space="preserve">√ </w:t>
      </w:r>
      <w:r>
        <w:rPr>
          <w:rFonts w:ascii="宋体" w:hAnsi="宋体" w:eastAsia="宋体" w:cs="宋体"/>
          <w:sz w:val="18"/>
          <w:szCs w:val="18"/>
        </w:rPr>
        <w:t>不适用</w:t>
      </w:r>
    </w:p>
    <w:p>
      <w:pPr>
        <w:spacing w:before="40" w:after="40" w:line="240" w:lineRule="exact"/>
        <w:rPr>
          <w:rFonts w:ascii="宋体" w:hAnsi="宋体" w:eastAsia="宋体" w:cs="宋体"/>
          <w:sz w:val="18"/>
          <w:szCs w:val="18"/>
        </w:rPr>
      </w:pPr>
      <w:r>
        <w:rPr>
          <w:rFonts w:ascii="宋体" w:hAnsi="宋体" w:eastAsia="宋体" w:cs="宋体"/>
          <w:sz w:val="18"/>
          <w:szCs w:val="18"/>
        </w:rPr>
        <w:t>公司报告期未发生破产重整相关事项。</w:t>
      </w:r>
    </w:p>
    <w:p>
      <w:pPr>
        <w:pStyle w:val="3"/>
        <w:spacing w:before="300" w:after="300" w:line="320" w:lineRule="exact"/>
        <w:rPr>
          <w:rFonts w:ascii="宋体" w:hAnsi="宋体" w:eastAsia="宋体" w:cs="宋体"/>
          <w:b/>
          <w:bCs/>
          <w:sz w:val="24"/>
          <w:szCs w:val="24"/>
        </w:rPr>
      </w:pPr>
      <w:bookmarkStart w:id="104" w:name="_Toc988991"/>
      <w:r>
        <w:rPr>
          <w:rFonts w:ascii="宋体" w:hAnsi="宋体" w:eastAsia="宋体" w:cs="宋体"/>
          <w:b/>
          <w:bCs/>
          <w:sz w:val="24"/>
          <w:szCs w:val="24"/>
        </w:rPr>
        <w:t>十一、重大诉讼、仲裁事项</w:t>
      </w:r>
      <w:bookmarkEnd w:id="104"/>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本年度公司无重大诉讼、仲裁事项。</w:t>
      </w:r>
    </w:p>
    <w:p>
      <w:pPr>
        <w:pStyle w:val="3"/>
        <w:spacing w:before="300" w:after="300" w:line="320" w:lineRule="exact"/>
        <w:rPr>
          <w:rFonts w:ascii="宋体" w:hAnsi="宋体" w:eastAsia="宋体" w:cs="宋体"/>
          <w:b/>
          <w:bCs/>
          <w:sz w:val="24"/>
          <w:szCs w:val="24"/>
        </w:rPr>
      </w:pPr>
      <w:bookmarkStart w:id="105" w:name="_Toc988992"/>
      <w:r>
        <w:rPr>
          <w:rFonts w:ascii="宋体" w:hAnsi="宋体" w:eastAsia="宋体" w:cs="宋体"/>
          <w:b/>
          <w:bCs/>
          <w:sz w:val="24"/>
          <w:szCs w:val="24"/>
        </w:rPr>
        <w:t>十二、处罚及整改情况</w:t>
      </w:r>
      <w:bookmarkEnd w:id="105"/>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公司报告期不存在处罚及整改情况。</w:t>
      </w:r>
    </w:p>
    <w:p>
      <w:pPr>
        <w:pStyle w:val="3"/>
        <w:spacing w:before="300" w:after="300" w:line="320" w:lineRule="exact"/>
        <w:rPr>
          <w:rFonts w:ascii="宋体" w:hAnsi="宋体" w:eastAsia="宋体" w:cs="宋体"/>
          <w:b/>
          <w:bCs/>
          <w:sz w:val="24"/>
          <w:szCs w:val="24"/>
        </w:rPr>
      </w:pPr>
      <w:bookmarkStart w:id="106" w:name="_Toc988993"/>
      <w:r>
        <w:rPr>
          <w:rFonts w:ascii="宋体" w:hAnsi="宋体" w:eastAsia="宋体" w:cs="宋体"/>
          <w:b/>
          <w:bCs/>
          <w:sz w:val="24"/>
          <w:szCs w:val="24"/>
        </w:rPr>
        <w:t>十三、公司及其控股股东、实际控制人的诚信状况</w:t>
      </w:r>
      <w:bookmarkEnd w:id="106"/>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107" w:name="_Toc988994"/>
      <w:r>
        <w:rPr>
          <w:rFonts w:ascii="宋体" w:hAnsi="宋体" w:eastAsia="宋体" w:cs="宋体"/>
          <w:b/>
          <w:bCs/>
          <w:sz w:val="24"/>
          <w:szCs w:val="24"/>
        </w:rPr>
        <w:t>十四、重大关联交易</w:t>
      </w:r>
      <w:bookmarkEnd w:id="107"/>
    </w:p>
    <w:p>
      <w:pPr>
        <w:pStyle w:val="4"/>
        <w:spacing w:line="280" w:lineRule="exact"/>
        <w:jc w:val="left"/>
        <w:rPr>
          <w:rFonts w:ascii="宋体" w:hAnsi="宋体" w:cs="宋体"/>
          <w:b/>
          <w:bCs/>
        </w:rPr>
      </w:pPr>
      <w:bookmarkStart w:id="108" w:name="_Toc988995"/>
      <w:r>
        <w:rPr>
          <w:rFonts w:ascii="宋体" w:hAnsi="宋体" w:cs="宋体"/>
          <w:b/>
          <w:bCs/>
        </w:rPr>
        <w:t>1、与日常经营相关的关联交易</w:t>
      </w:r>
      <w:bookmarkEnd w:id="108"/>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spacing w:before="40" w:after="40" w:line="240" w:lineRule="exact"/>
        <w:rPr>
          <w:rFonts w:ascii="宋体" w:hAnsi="宋体" w:eastAsia="宋体" w:cs="宋体"/>
          <w:sz w:val="18"/>
          <w:szCs w:val="18"/>
        </w:rPr>
      </w:pPr>
      <w:r>
        <w:rPr>
          <w:rFonts w:ascii="宋体" w:hAnsi="宋体" w:eastAsia="宋体" w:cs="宋体"/>
          <w:sz w:val="18"/>
          <w:szCs w:val="18"/>
        </w:rPr>
        <w:t>公司报告期未发生与日常经营相关的关联交易。</w:t>
      </w:r>
    </w:p>
    <w:p>
      <w:pPr>
        <w:pStyle w:val="4"/>
        <w:spacing w:line="280" w:lineRule="exact"/>
        <w:jc w:val="left"/>
        <w:rPr>
          <w:rFonts w:ascii="宋体" w:hAnsi="宋体" w:cs="宋体"/>
          <w:b/>
          <w:bCs/>
        </w:rPr>
      </w:pPr>
      <w:bookmarkStart w:id="109" w:name="_Toc988996"/>
      <w:r>
        <w:rPr>
          <w:rFonts w:ascii="宋体" w:hAnsi="宋体" w:cs="宋体"/>
          <w:b/>
          <w:bCs/>
        </w:rPr>
        <w:t>2、资产或股权收购、出售发生的关联交易</w:t>
      </w:r>
      <w:bookmarkEnd w:id="109"/>
    </w:p>
    <w:p>
      <w:pPr>
        <w:spacing w:before="40" w:after="4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03"/>
        <w:gridCol w:w="803"/>
        <w:gridCol w:w="803"/>
        <w:gridCol w:w="804"/>
        <w:gridCol w:w="803"/>
        <w:gridCol w:w="803"/>
        <w:gridCol w:w="803"/>
        <w:gridCol w:w="803"/>
        <w:gridCol w:w="803"/>
        <w:gridCol w:w="803"/>
        <w:gridCol w:w="803"/>
        <w:gridCol w:w="80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关联方</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关联关系</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关联交易类型</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关联交易内容</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关联交易定价原则</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转让资产的账面价值（万元）</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转让资产的评估价值（万元）</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转让价格（万元）</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关联交易结算方式</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交易损益（万元）</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披露日期</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披露索引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周钢华</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持股超过5%以上的股东</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股权收购</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收购天和永磁67%的股权</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依据评估价值由交易双方协商确定</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4,741.97</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22,020.09</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21,439.57</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现金</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2022年06月29日</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http://www.cninfo.com.cn2022-037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转让价格与账面价值或评估价值差异较大的原因（如有）</w:t>
            </w:r>
          </w:p>
        </w:tc>
        <w:tc>
          <w:tcPr>
            <w:tcW w:w="6426" w:type="dxa"/>
            <w:gridSpan w:val="8"/>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根据北京兴华资产评估有限公司出具的编号为兴华评报字[2022]第010017号的《资产评估报告》，经交易双方协商确定，交易价格略低于评估价格。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对公司经营成果与财务状况的影响情况</w:t>
            </w:r>
          </w:p>
        </w:tc>
        <w:tc>
          <w:tcPr>
            <w:tcW w:w="6426" w:type="dxa"/>
            <w:gridSpan w:val="8"/>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2022年度，天和永磁实现净利润3,446.63万元，其中合并日至报告期末净利润2,559.33万元，占公司报告期净利润10.95%。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如相关交易涉及业绩约定的，报告期内的业绩实现情况</w:t>
            </w:r>
          </w:p>
        </w:tc>
        <w:tc>
          <w:tcPr>
            <w:tcW w:w="6426" w:type="dxa"/>
            <w:gridSpan w:val="8"/>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根据公司与交易对方签署的《股权转让协议》，交易对方承诺天和永磁2022年、2023年和2024年实现经审计后的实际净利润分别不低于人民币3,600万元、4,100万元和4,600万元，三年累计实际净利润不低于12,300万元。</w:t>
            </w:r>
          </w:p>
          <w:p>
            <w:pPr>
              <w:spacing w:line="240" w:lineRule="exact"/>
              <w:rPr>
                <w:rFonts w:ascii="宋体" w:hAnsi="宋体" w:eastAsia="宋体" w:cs="宋体"/>
                <w:sz w:val="18"/>
                <w:szCs w:val="18"/>
              </w:rPr>
            </w:pPr>
            <w:r>
              <w:rPr>
                <w:rFonts w:hint="eastAsia" w:ascii="宋体" w:hAnsi="宋体" w:eastAsia="宋体" w:cs="宋体"/>
                <w:sz w:val="18"/>
                <w:szCs w:val="18"/>
              </w:rPr>
              <w:t>公司年审机构</w:t>
            </w:r>
            <w:r>
              <w:rPr>
                <w:rFonts w:ascii="宋体" w:hAnsi="宋体" w:eastAsia="宋体" w:cs="宋体"/>
                <w:sz w:val="18"/>
                <w:szCs w:val="18"/>
              </w:rPr>
              <w:t>北京兴华会</w:t>
            </w:r>
            <w:r>
              <w:rPr>
                <w:rFonts w:hint="eastAsia" w:ascii="宋体" w:hAnsi="宋体" w:eastAsia="宋体" w:cs="宋体"/>
                <w:sz w:val="18"/>
                <w:szCs w:val="18"/>
              </w:rPr>
              <w:t>计</w:t>
            </w:r>
            <w:r>
              <w:rPr>
                <w:rFonts w:ascii="宋体" w:hAnsi="宋体" w:eastAsia="宋体" w:cs="宋体"/>
                <w:sz w:val="18"/>
                <w:szCs w:val="18"/>
              </w:rPr>
              <w:t>师事务所审核并出具了《关于赣州天和永磁材料有限公司业绩承诺完成情况的专项审核报告》，2022年度天和永磁完成净利润34,466,252.83元，按转让协议约定的核算方式核定的实际净利润为34,232,272.85元，当年业绩承诺完成率95.09%。</w:t>
            </w:r>
          </w:p>
        </w:tc>
      </w:tr>
    </w:tbl>
    <w:p>
      <w:pPr>
        <w:pStyle w:val="4"/>
        <w:spacing w:line="280" w:lineRule="exact"/>
        <w:jc w:val="left"/>
        <w:rPr>
          <w:rFonts w:ascii="宋体" w:hAnsi="宋体" w:cs="宋体"/>
          <w:b/>
          <w:bCs/>
        </w:rPr>
      </w:pPr>
      <w:bookmarkStart w:id="110" w:name="_Toc988997"/>
      <w:r>
        <w:rPr>
          <w:rFonts w:ascii="宋体" w:hAnsi="宋体" w:cs="宋体"/>
          <w:b/>
          <w:bCs/>
        </w:rPr>
        <w:t>3、共同对外投资的关联交易</w:t>
      </w:r>
      <w:bookmarkEnd w:id="110"/>
    </w:p>
    <w:p>
      <w:pPr>
        <w:spacing w:before="40" w:after="4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04"/>
        <w:gridCol w:w="1205"/>
        <w:gridCol w:w="1205"/>
        <w:gridCol w:w="1205"/>
        <w:gridCol w:w="1205"/>
        <w:gridCol w:w="1205"/>
        <w:gridCol w:w="1205"/>
        <w:gridCol w:w="120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共同投资方</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关联关系</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被投资企业的名称</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被投资企业的主营业务</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被投资企业的注册资本</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被投资企业的总资产（万元）</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被投资企业的净资产（万元）</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被投资企业的净利润（万元）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周钢华、舒金澄及郑田田</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周钢华为公司持股超过5%以上的股东；郑田田曾担任公司第六届董事会董事，离任不满一年。</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赣州川宇国际贸易有限公司</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国外稀土原矿的进口、贸易</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10,000万元</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被投资企业的重大在建项目的进展情况（如有）</w:t>
            </w:r>
          </w:p>
        </w:tc>
        <w:tc>
          <w:tcPr>
            <w:tcW w:w="7229" w:type="dxa"/>
            <w:gridSpan w:val="6"/>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无</w:t>
            </w:r>
          </w:p>
        </w:tc>
      </w:tr>
    </w:tbl>
    <w:p>
      <w:pPr>
        <w:pStyle w:val="4"/>
        <w:spacing w:line="280" w:lineRule="exact"/>
        <w:jc w:val="left"/>
        <w:rPr>
          <w:rFonts w:ascii="宋体" w:hAnsi="宋体" w:cs="宋体"/>
          <w:b/>
          <w:bCs/>
        </w:rPr>
      </w:pPr>
      <w:bookmarkStart w:id="111" w:name="_Toc988998"/>
      <w:r>
        <w:rPr>
          <w:rFonts w:ascii="宋体" w:hAnsi="宋体" w:cs="宋体"/>
          <w:b/>
          <w:bCs/>
        </w:rPr>
        <w:t>4、关联债权债务往来</w:t>
      </w:r>
      <w:bookmarkEnd w:id="111"/>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spacing w:before="100" w:after="100" w:line="240" w:lineRule="exact"/>
        <w:rPr>
          <w:rFonts w:ascii="宋体" w:hAnsi="宋体" w:eastAsia="宋体" w:cs="宋体"/>
          <w:sz w:val="18"/>
          <w:szCs w:val="18"/>
        </w:rPr>
      </w:pPr>
      <w:r>
        <w:rPr>
          <w:rFonts w:ascii="宋体" w:hAnsi="宋体" w:eastAsia="宋体" w:cs="宋体"/>
          <w:sz w:val="18"/>
          <w:szCs w:val="18"/>
        </w:rPr>
        <w:t>是否存在非经营性关联债权债务往来</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□是 </w:t>
      </w:r>
      <w:r>
        <w:rPr>
          <w:szCs w:val="24"/>
        </w:rPr>
        <w:t xml:space="preserve">√ </w:t>
      </w:r>
      <w:r>
        <w:rPr>
          <w:rFonts w:ascii="宋体" w:hAnsi="宋体" w:eastAsia="宋体" w:cs="宋体"/>
          <w:sz w:val="18"/>
          <w:szCs w:val="18"/>
        </w:rPr>
        <w:t>否</w:t>
      </w:r>
    </w:p>
    <w:p>
      <w:pPr>
        <w:spacing w:before="100" w:after="100" w:line="240" w:lineRule="exact"/>
        <w:rPr>
          <w:rFonts w:ascii="宋体" w:hAnsi="宋体" w:eastAsia="宋体" w:cs="宋体"/>
          <w:sz w:val="18"/>
          <w:szCs w:val="18"/>
        </w:rPr>
      </w:pPr>
      <w:r>
        <w:rPr>
          <w:rFonts w:ascii="宋体" w:hAnsi="宋体" w:eastAsia="宋体" w:cs="宋体"/>
          <w:sz w:val="18"/>
          <w:szCs w:val="18"/>
        </w:rPr>
        <w:t>公司报告期不存在非经营性关联债权债务往来。</w:t>
      </w:r>
    </w:p>
    <w:p>
      <w:pPr>
        <w:pStyle w:val="4"/>
        <w:spacing w:line="280" w:lineRule="exact"/>
        <w:jc w:val="left"/>
        <w:rPr>
          <w:rFonts w:ascii="宋体" w:hAnsi="宋体" w:cs="宋体"/>
          <w:b/>
          <w:bCs/>
        </w:rPr>
      </w:pPr>
      <w:bookmarkStart w:id="112" w:name="_Toc988999"/>
      <w:r>
        <w:rPr>
          <w:rFonts w:ascii="宋体" w:hAnsi="宋体" w:cs="宋体"/>
          <w:b/>
          <w:bCs/>
        </w:rPr>
        <w:t>5、与存在关联关系的财务公司的往来情况</w:t>
      </w:r>
      <w:bookmarkEnd w:id="112"/>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spacing w:before="40" w:after="40" w:line="240" w:lineRule="exact"/>
        <w:rPr>
          <w:rFonts w:ascii="宋体" w:hAnsi="宋体" w:eastAsia="宋体" w:cs="宋体"/>
          <w:sz w:val="18"/>
          <w:szCs w:val="18"/>
        </w:rPr>
      </w:pPr>
      <w:r>
        <w:rPr>
          <w:rFonts w:ascii="宋体" w:hAnsi="宋体" w:eastAsia="宋体" w:cs="宋体"/>
          <w:sz w:val="18"/>
          <w:szCs w:val="18"/>
        </w:rPr>
        <w:t>公司与存在关联关系的财务公司与关联方之间不存在存款、贷款、授信或其他金融业务。</w:t>
      </w:r>
    </w:p>
    <w:p>
      <w:pPr>
        <w:pStyle w:val="4"/>
        <w:spacing w:line="280" w:lineRule="exact"/>
        <w:jc w:val="left"/>
        <w:rPr>
          <w:rFonts w:ascii="宋体" w:hAnsi="宋体" w:cs="宋体"/>
          <w:b/>
          <w:bCs/>
        </w:rPr>
      </w:pPr>
      <w:bookmarkStart w:id="113" w:name="_Toc989000"/>
      <w:r>
        <w:rPr>
          <w:rFonts w:ascii="宋体" w:hAnsi="宋体" w:cs="宋体"/>
          <w:b/>
          <w:bCs/>
        </w:rPr>
        <w:t>6、公司控股的财务公司与关联方的往来情况</w:t>
      </w:r>
      <w:bookmarkEnd w:id="113"/>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spacing w:before="40" w:after="40"/>
        <w:rPr>
          <w:rFonts w:ascii="宋体" w:hAnsi="宋体" w:eastAsia="宋体" w:cs="宋体"/>
          <w:sz w:val="18"/>
          <w:szCs w:val="18"/>
        </w:rPr>
      </w:pPr>
      <w:r>
        <w:rPr>
          <w:rFonts w:ascii="宋体" w:hAnsi="宋体" w:eastAsia="宋体" w:cs="宋体"/>
          <w:sz w:val="18"/>
          <w:szCs w:val="18"/>
        </w:rPr>
        <w:t>公司控股的财务公司与关联方之间不存在存款、贷款、授信或其他金融业务。</w:t>
      </w:r>
    </w:p>
    <w:p>
      <w:pPr>
        <w:pStyle w:val="4"/>
        <w:spacing w:line="280" w:lineRule="exact"/>
        <w:jc w:val="left"/>
        <w:rPr>
          <w:rFonts w:ascii="宋体" w:hAnsi="宋体" w:cs="宋体"/>
          <w:b/>
          <w:bCs/>
        </w:rPr>
      </w:pPr>
      <w:bookmarkStart w:id="114" w:name="_Toc989001"/>
      <w:r>
        <w:rPr>
          <w:rFonts w:ascii="宋体" w:hAnsi="宋体" w:cs="宋体"/>
          <w:b/>
          <w:bCs/>
        </w:rPr>
        <w:t>7、其他重大关联交易</w:t>
      </w:r>
      <w:bookmarkEnd w:id="114"/>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2022年6月28日，公司第六届董事会第二十二次会议审议通过《年产 500 万只水表智能工厂建设项目》的议案，批准公司实施“年产 500 万只水表智能工厂建设项目”。为确定项目实施单位，公司通过邀请招标方式择优选定中旷建设集团有限公司（简称“中旷建设”）为项目建筑工程的中标方，中标价为工程招标控制价下浮5%即6,933万元整。因中旷建设系三川实业的全资子公司，公司控股股东江西三川集团有限公司持有三川实业51%的股权，本公司持有三川实业46%的股权，因此中旷建设与公司构成关联关系，公司与中旷建设签订建设工程施工合同构成关联交易。</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公司第六届董事会第二十五次会议审议通过了《关于与中旷建设集团有限公司签订建设工程施工合同暨关联交易的议案》，关联董事在审议该事项时均已回避表决。公司独立董事就该关联交易事项予以事前认可并发表了明确同意意见。</w:t>
      </w:r>
    </w:p>
    <w:p>
      <w:pPr>
        <w:spacing w:before="100" w:after="100" w:line="240" w:lineRule="exact"/>
        <w:rPr>
          <w:rFonts w:ascii="宋体" w:hAnsi="宋体" w:eastAsia="宋体" w:cs="宋体"/>
          <w:sz w:val="18"/>
          <w:szCs w:val="18"/>
        </w:rPr>
      </w:pPr>
      <w:r>
        <w:rPr>
          <w:rFonts w:ascii="宋体" w:hAnsi="宋体" w:eastAsia="宋体" w:cs="宋体"/>
          <w:sz w:val="18"/>
          <w:szCs w:val="18"/>
        </w:rPr>
        <w:t>重大关联交易临时报告披露网站相关查询</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临时公告名称</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临时公告披露日期</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临时公告披露网站名称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关于与中旷建设集团有限公司签订建设工程施工合同暨关联交易的公告</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2022年10月26日</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http://www.cninfo.com.cn.2022-062</w:t>
            </w:r>
          </w:p>
        </w:tc>
      </w:tr>
    </w:tbl>
    <w:p>
      <w:pPr>
        <w:pStyle w:val="3"/>
        <w:spacing w:before="300" w:after="300" w:line="320" w:lineRule="exact"/>
        <w:rPr>
          <w:rFonts w:ascii="宋体" w:hAnsi="宋体" w:eastAsia="宋体" w:cs="宋体"/>
          <w:b/>
          <w:bCs/>
          <w:sz w:val="24"/>
          <w:szCs w:val="24"/>
        </w:rPr>
      </w:pPr>
      <w:bookmarkStart w:id="115" w:name="_Toc989002"/>
      <w:r>
        <w:rPr>
          <w:rFonts w:ascii="宋体" w:hAnsi="宋体" w:eastAsia="宋体" w:cs="宋体"/>
          <w:b/>
          <w:bCs/>
          <w:sz w:val="24"/>
          <w:szCs w:val="24"/>
        </w:rPr>
        <w:t>十五、重大合同及其履行情况</w:t>
      </w:r>
      <w:bookmarkEnd w:id="115"/>
    </w:p>
    <w:p>
      <w:pPr>
        <w:pStyle w:val="4"/>
        <w:spacing w:line="280" w:lineRule="exact"/>
        <w:jc w:val="left"/>
        <w:rPr>
          <w:rFonts w:ascii="宋体" w:hAnsi="宋体" w:cs="宋体"/>
          <w:b/>
          <w:bCs/>
        </w:rPr>
      </w:pPr>
      <w:bookmarkStart w:id="116" w:name="_Toc989003"/>
      <w:r>
        <w:rPr>
          <w:rFonts w:ascii="宋体" w:hAnsi="宋体" w:cs="宋体"/>
          <w:b/>
          <w:bCs/>
        </w:rPr>
        <w:t>1、托管、承包、租赁事项情况</w:t>
      </w:r>
      <w:bookmarkEnd w:id="116"/>
    </w:p>
    <w:p>
      <w:pPr>
        <w:keepNext/>
        <w:keepLines/>
        <w:spacing w:before="300" w:after="300" w:line="280" w:lineRule="exact"/>
        <w:outlineLvl w:val="3"/>
        <w:rPr>
          <w:rFonts w:ascii="宋体" w:hAnsi="宋体" w:eastAsia="宋体" w:cs="宋体"/>
          <w:b/>
          <w:bCs/>
          <w:sz w:val="18"/>
          <w:szCs w:val="18"/>
        </w:rPr>
      </w:pPr>
      <w:bookmarkStart w:id="117" w:name="_Toc989004"/>
      <w:r>
        <w:rPr>
          <w:rFonts w:ascii="宋体" w:hAnsi="宋体" w:eastAsia="宋体" w:cs="宋体"/>
          <w:b/>
          <w:bCs/>
          <w:sz w:val="18"/>
          <w:szCs w:val="18"/>
        </w:rPr>
        <w:t>（1） 托管情况</w:t>
      </w:r>
      <w:bookmarkEnd w:id="117"/>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公司报告期不存在托管情况。</w:t>
      </w:r>
    </w:p>
    <w:p>
      <w:pPr>
        <w:keepNext/>
        <w:keepLines/>
        <w:spacing w:before="300" w:after="300" w:line="280" w:lineRule="exact"/>
        <w:outlineLvl w:val="3"/>
        <w:rPr>
          <w:rFonts w:ascii="宋体" w:hAnsi="宋体" w:eastAsia="宋体" w:cs="宋体"/>
          <w:b/>
          <w:bCs/>
          <w:sz w:val="18"/>
          <w:szCs w:val="18"/>
        </w:rPr>
      </w:pPr>
      <w:bookmarkStart w:id="118" w:name="_Toc989005"/>
      <w:r>
        <w:rPr>
          <w:rFonts w:ascii="宋体" w:hAnsi="宋体" w:eastAsia="宋体" w:cs="宋体"/>
          <w:b/>
          <w:bCs/>
          <w:sz w:val="18"/>
          <w:szCs w:val="18"/>
        </w:rPr>
        <w:t>（2） 承包情况</w:t>
      </w:r>
      <w:bookmarkEnd w:id="118"/>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公司报告期不存在承包情况。</w:t>
      </w:r>
    </w:p>
    <w:p>
      <w:pPr>
        <w:keepNext/>
        <w:keepLines/>
        <w:spacing w:before="300" w:after="300" w:line="280" w:lineRule="exact"/>
        <w:outlineLvl w:val="3"/>
        <w:rPr>
          <w:rFonts w:ascii="宋体" w:hAnsi="宋体" w:eastAsia="宋体" w:cs="宋体"/>
          <w:b/>
          <w:bCs/>
          <w:sz w:val="18"/>
          <w:szCs w:val="18"/>
        </w:rPr>
      </w:pPr>
      <w:bookmarkStart w:id="119" w:name="_Toc989006"/>
      <w:r>
        <w:rPr>
          <w:rFonts w:ascii="宋体" w:hAnsi="宋体" w:eastAsia="宋体" w:cs="宋体"/>
          <w:b/>
          <w:bCs/>
          <w:sz w:val="18"/>
          <w:szCs w:val="18"/>
        </w:rPr>
        <w:t>（3） 租赁情况</w:t>
      </w:r>
      <w:bookmarkEnd w:id="119"/>
    </w:p>
    <w:p>
      <w:pPr>
        <w:spacing w:before="100" w:after="10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spacing w:before="100" w:after="100" w:line="240" w:lineRule="exact"/>
        <w:rPr>
          <w:rFonts w:ascii="宋体" w:hAnsi="宋体" w:eastAsia="宋体" w:cs="宋体"/>
          <w:sz w:val="18"/>
          <w:szCs w:val="18"/>
        </w:rPr>
      </w:pPr>
      <w:r>
        <w:rPr>
          <w:rFonts w:ascii="宋体" w:hAnsi="宋体" w:eastAsia="宋体" w:cs="宋体"/>
          <w:sz w:val="18"/>
          <w:szCs w:val="18"/>
        </w:rPr>
        <w:t>租赁情况说明</w:t>
      </w:r>
    </w:p>
    <w:p>
      <w:pPr>
        <w:pStyle w:val="11"/>
        <w:rPr>
          <w:sz w:val="18"/>
          <w:szCs w:val="18"/>
        </w:rPr>
      </w:pPr>
    </w:p>
    <w:p>
      <w:pPr>
        <w:pStyle w:val="11"/>
        <w:rPr>
          <w:sz w:val="18"/>
          <w:szCs w:val="18"/>
        </w:rPr>
      </w:pPr>
      <w:r>
        <w:rPr>
          <w:rFonts w:hint="eastAsia"/>
          <w:sz w:val="18"/>
          <w:szCs w:val="18"/>
        </w:rPr>
        <w:t>1、其他公司（个人）租赁公司资产情况</w:t>
      </w:r>
    </w:p>
    <w:tbl>
      <w:tblPr>
        <w:tblStyle w:val="13"/>
        <w:tblW w:w="5000" w:type="pct"/>
        <w:tblInd w:w="0" w:type="dxa"/>
        <w:tblLayout w:type="fixed"/>
        <w:tblCellMar>
          <w:top w:w="0" w:type="dxa"/>
          <w:left w:w="0" w:type="dxa"/>
          <w:bottom w:w="0" w:type="dxa"/>
          <w:right w:w="0" w:type="dxa"/>
        </w:tblCellMar>
      </w:tblPr>
      <w:tblGrid>
        <w:gridCol w:w="1425"/>
        <w:gridCol w:w="3401"/>
        <w:gridCol w:w="1139"/>
        <w:gridCol w:w="1129"/>
        <w:gridCol w:w="2558"/>
      </w:tblGrid>
      <w:tr>
        <w:tblPrEx>
          <w:tblCellMar>
            <w:top w:w="0" w:type="dxa"/>
            <w:left w:w="0" w:type="dxa"/>
            <w:bottom w:w="0" w:type="dxa"/>
            <w:right w:w="0" w:type="dxa"/>
          </w:tblCellMar>
        </w:tblPrEx>
        <w:trPr>
          <w:trHeight w:val="528" w:hRule="atLeast"/>
        </w:trPr>
        <w:tc>
          <w:tcPr>
            <w:tcW w:w="738" w:type="pct"/>
            <w:tcBorders>
              <w:top w:val="single" w:color="auto" w:sz="4" w:space="0"/>
              <w:left w:val="single" w:color="auto" w:sz="4" w:space="0"/>
              <w:bottom w:val="single" w:color="auto" w:sz="4" w:space="0"/>
              <w:right w:val="single" w:color="auto" w:sz="4" w:space="0"/>
            </w:tcBorders>
            <w:shd w:val="clear" w:color="auto" w:fill="BFBFBF"/>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出租方名称 </w:t>
            </w:r>
          </w:p>
        </w:tc>
        <w:tc>
          <w:tcPr>
            <w:tcW w:w="1762" w:type="pct"/>
            <w:tcBorders>
              <w:top w:val="single" w:color="auto" w:sz="8" w:space="0"/>
              <w:left w:val="nil"/>
              <w:bottom w:val="single" w:color="auto" w:sz="8" w:space="0"/>
              <w:right w:val="single" w:color="auto" w:sz="8" w:space="0"/>
            </w:tcBorders>
            <w:shd w:val="clear" w:color="auto" w:fill="BFBFBF"/>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承租方名称 </w:t>
            </w:r>
          </w:p>
        </w:tc>
        <w:tc>
          <w:tcPr>
            <w:tcW w:w="590" w:type="pct"/>
            <w:tcBorders>
              <w:top w:val="single" w:color="auto" w:sz="8" w:space="0"/>
              <w:left w:val="nil"/>
              <w:bottom w:val="single" w:color="auto" w:sz="8" w:space="0"/>
              <w:right w:val="single" w:color="auto" w:sz="8" w:space="0"/>
            </w:tcBorders>
            <w:shd w:val="clear" w:color="auto" w:fill="BFBFBF"/>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租赁资产种类 </w:t>
            </w:r>
          </w:p>
        </w:tc>
        <w:tc>
          <w:tcPr>
            <w:tcW w:w="585" w:type="pct"/>
            <w:tcBorders>
              <w:top w:val="single" w:color="auto" w:sz="8" w:space="0"/>
              <w:left w:val="nil"/>
              <w:bottom w:val="single" w:color="auto" w:sz="8" w:space="0"/>
              <w:right w:val="single" w:color="auto" w:sz="8" w:space="0"/>
            </w:tcBorders>
            <w:shd w:val="clear" w:color="auto" w:fill="BFBFBF"/>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租赁期限 </w:t>
            </w:r>
          </w:p>
        </w:tc>
        <w:tc>
          <w:tcPr>
            <w:tcW w:w="1326" w:type="pct"/>
            <w:tcBorders>
              <w:top w:val="single" w:color="auto" w:sz="8" w:space="0"/>
              <w:left w:val="nil"/>
              <w:bottom w:val="single" w:color="auto" w:sz="8" w:space="0"/>
              <w:right w:val="single" w:color="auto" w:sz="8" w:space="0"/>
            </w:tcBorders>
            <w:shd w:val="clear" w:color="auto" w:fill="BFBFBF"/>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本报告期租赁收益（元） </w:t>
            </w:r>
          </w:p>
        </w:tc>
      </w:tr>
      <w:tr>
        <w:tblPrEx>
          <w:tblCellMar>
            <w:top w:w="0" w:type="dxa"/>
            <w:left w:w="0" w:type="dxa"/>
            <w:bottom w:w="0" w:type="dxa"/>
            <w:right w:w="0" w:type="dxa"/>
          </w:tblCellMar>
        </w:tblPrEx>
        <w:trPr>
          <w:trHeight w:val="264" w:hRule="atLeast"/>
        </w:trPr>
        <w:tc>
          <w:tcPr>
            <w:tcW w:w="738" w:type="pct"/>
            <w:tcBorders>
              <w:top w:val="nil"/>
              <w:left w:val="single" w:color="auto" w:sz="8" w:space="0"/>
              <w:bottom w:val="single" w:color="auto" w:sz="8" w:space="0"/>
              <w:right w:val="single" w:color="auto" w:sz="8" w:space="0"/>
            </w:tcBorders>
            <w:vAlign w:val="center"/>
          </w:tcPr>
          <w:p>
            <w:pPr>
              <w:jc w:val="both"/>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762" w:type="pct"/>
            <w:tcBorders>
              <w:top w:val="nil"/>
              <w:left w:val="nil"/>
              <w:bottom w:val="single" w:color="auto" w:sz="8" w:space="0"/>
              <w:right w:val="single" w:color="auto" w:sz="8" w:space="0"/>
            </w:tcBorders>
            <w:vAlign w:val="center"/>
          </w:tcPr>
          <w:p>
            <w:pPr>
              <w:rPr>
                <w:rFonts w:ascii="宋体" w:hAnsi="宋体" w:eastAsia="宋体" w:cs="Times New Roman"/>
                <w:color w:val="000000"/>
                <w:sz w:val="18"/>
                <w:szCs w:val="18"/>
              </w:rPr>
            </w:pPr>
            <w:r>
              <w:rPr>
                <w:rFonts w:ascii="宋体" w:hAnsi="宋体" w:eastAsia="宋体" w:cs="Times New Roman"/>
                <w:color w:val="000000"/>
                <w:sz w:val="18"/>
                <w:szCs w:val="18"/>
              </w:rPr>
              <w:t> 江西三川埃尔斯特水表有限公司 </w:t>
            </w:r>
          </w:p>
        </w:tc>
        <w:tc>
          <w:tcPr>
            <w:tcW w:w="590"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厂房 </w:t>
            </w:r>
          </w:p>
        </w:tc>
        <w:tc>
          <w:tcPr>
            <w:tcW w:w="585"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1年 </w:t>
            </w:r>
          </w:p>
        </w:tc>
        <w:tc>
          <w:tcPr>
            <w:tcW w:w="1326" w:type="pct"/>
            <w:tcBorders>
              <w:top w:val="nil"/>
              <w:left w:val="nil"/>
              <w:bottom w:val="single" w:color="auto" w:sz="8" w:space="0"/>
              <w:right w:val="single" w:color="auto" w:sz="8" w:space="0"/>
            </w:tcBorders>
            <w:vAlign w:val="center"/>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342,857.14</w:t>
            </w:r>
          </w:p>
        </w:tc>
      </w:tr>
      <w:tr>
        <w:tblPrEx>
          <w:tblCellMar>
            <w:top w:w="0" w:type="dxa"/>
            <w:left w:w="0" w:type="dxa"/>
            <w:bottom w:w="0" w:type="dxa"/>
            <w:right w:w="0" w:type="dxa"/>
          </w:tblCellMar>
        </w:tblPrEx>
        <w:trPr>
          <w:trHeight w:val="264" w:hRule="atLeast"/>
        </w:trPr>
        <w:tc>
          <w:tcPr>
            <w:tcW w:w="738" w:type="pct"/>
            <w:tcBorders>
              <w:top w:val="nil"/>
              <w:left w:val="single" w:color="auto" w:sz="8" w:space="0"/>
              <w:bottom w:val="single" w:color="auto" w:sz="8" w:space="0"/>
              <w:right w:val="single" w:color="auto" w:sz="8" w:space="0"/>
            </w:tcBorders>
            <w:vAlign w:val="center"/>
          </w:tcPr>
          <w:p>
            <w:pPr>
              <w:jc w:val="both"/>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762" w:type="pct"/>
            <w:tcBorders>
              <w:top w:val="nil"/>
              <w:left w:val="nil"/>
              <w:bottom w:val="single" w:color="auto" w:sz="8" w:space="0"/>
              <w:right w:val="single" w:color="auto" w:sz="8" w:space="0"/>
            </w:tcBorders>
            <w:vAlign w:val="center"/>
          </w:tcPr>
          <w:p>
            <w:pPr>
              <w:rPr>
                <w:rFonts w:ascii="宋体" w:hAnsi="宋体" w:eastAsia="宋体" w:cs="Times New Roman"/>
                <w:color w:val="000000"/>
                <w:sz w:val="18"/>
                <w:szCs w:val="18"/>
              </w:rPr>
            </w:pPr>
            <w:r>
              <w:rPr>
                <w:rFonts w:ascii="宋体" w:hAnsi="宋体" w:eastAsia="宋体" w:cs="Times New Roman"/>
                <w:color w:val="000000"/>
                <w:sz w:val="18"/>
                <w:szCs w:val="18"/>
              </w:rPr>
              <w:t> 鹰潭市川成塑胶有限公司 </w:t>
            </w:r>
          </w:p>
        </w:tc>
        <w:tc>
          <w:tcPr>
            <w:tcW w:w="590"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厂房 </w:t>
            </w:r>
          </w:p>
        </w:tc>
        <w:tc>
          <w:tcPr>
            <w:tcW w:w="585"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1年 </w:t>
            </w:r>
          </w:p>
        </w:tc>
        <w:tc>
          <w:tcPr>
            <w:tcW w:w="1326" w:type="pct"/>
            <w:tcBorders>
              <w:top w:val="nil"/>
              <w:left w:val="nil"/>
              <w:bottom w:val="single" w:color="auto" w:sz="8" w:space="0"/>
              <w:right w:val="single" w:color="auto" w:sz="8" w:space="0"/>
            </w:tcBorders>
            <w:vAlign w:val="center"/>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9,216.00</w:t>
            </w:r>
          </w:p>
        </w:tc>
      </w:tr>
      <w:tr>
        <w:tblPrEx>
          <w:tblCellMar>
            <w:top w:w="0" w:type="dxa"/>
            <w:left w:w="0" w:type="dxa"/>
            <w:bottom w:w="0" w:type="dxa"/>
            <w:right w:w="0" w:type="dxa"/>
          </w:tblCellMar>
        </w:tblPrEx>
        <w:trPr>
          <w:trHeight w:val="264" w:hRule="atLeast"/>
        </w:trPr>
        <w:tc>
          <w:tcPr>
            <w:tcW w:w="738" w:type="pct"/>
            <w:tcBorders>
              <w:top w:val="nil"/>
              <w:left w:val="single" w:color="auto" w:sz="8" w:space="0"/>
              <w:bottom w:val="single" w:color="auto" w:sz="8" w:space="0"/>
              <w:right w:val="single" w:color="auto" w:sz="8" w:space="0"/>
            </w:tcBorders>
            <w:vAlign w:val="center"/>
          </w:tcPr>
          <w:p>
            <w:pPr>
              <w:jc w:val="both"/>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762" w:type="pct"/>
            <w:tcBorders>
              <w:top w:val="nil"/>
              <w:left w:val="nil"/>
              <w:bottom w:val="single" w:color="auto" w:sz="8" w:space="0"/>
              <w:right w:val="single" w:color="auto" w:sz="8" w:space="0"/>
            </w:tcBorders>
            <w:vAlign w:val="center"/>
          </w:tcPr>
          <w:p>
            <w:pPr>
              <w:rPr>
                <w:rFonts w:ascii="宋体" w:hAnsi="宋体" w:eastAsia="宋体" w:cs="Times New Roman"/>
                <w:color w:val="000000"/>
                <w:sz w:val="18"/>
                <w:szCs w:val="18"/>
              </w:rPr>
            </w:pPr>
            <w:r>
              <w:rPr>
                <w:rFonts w:ascii="宋体" w:hAnsi="宋体" w:eastAsia="宋体" w:cs="Times New Roman"/>
                <w:color w:val="000000"/>
                <w:sz w:val="18"/>
                <w:szCs w:val="18"/>
              </w:rPr>
              <w:t> 鹰潭市华宇设备喷塑有限公司 </w:t>
            </w:r>
          </w:p>
        </w:tc>
        <w:tc>
          <w:tcPr>
            <w:tcW w:w="590"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厂房 </w:t>
            </w:r>
          </w:p>
        </w:tc>
        <w:tc>
          <w:tcPr>
            <w:tcW w:w="585"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1年 </w:t>
            </w:r>
          </w:p>
        </w:tc>
        <w:tc>
          <w:tcPr>
            <w:tcW w:w="1326" w:type="pct"/>
            <w:tcBorders>
              <w:top w:val="nil"/>
              <w:left w:val="nil"/>
              <w:bottom w:val="single" w:color="auto" w:sz="8" w:space="0"/>
              <w:right w:val="single" w:color="auto" w:sz="8" w:space="0"/>
            </w:tcBorders>
            <w:vAlign w:val="center"/>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62,526.07</w:t>
            </w:r>
          </w:p>
        </w:tc>
      </w:tr>
      <w:tr>
        <w:tblPrEx>
          <w:tblCellMar>
            <w:top w:w="0" w:type="dxa"/>
            <w:left w:w="0" w:type="dxa"/>
            <w:bottom w:w="0" w:type="dxa"/>
            <w:right w:w="0" w:type="dxa"/>
          </w:tblCellMar>
        </w:tblPrEx>
        <w:trPr>
          <w:trHeight w:val="264" w:hRule="atLeast"/>
        </w:trPr>
        <w:tc>
          <w:tcPr>
            <w:tcW w:w="738" w:type="pct"/>
            <w:tcBorders>
              <w:top w:val="nil"/>
              <w:left w:val="single" w:color="auto" w:sz="8" w:space="0"/>
              <w:bottom w:val="single" w:color="auto" w:sz="8" w:space="0"/>
              <w:right w:val="single" w:color="auto" w:sz="8" w:space="0"/>
            </w:tcBorders>
            <w:vAlign w:val="center"/>
          </w:tcPr>
          <w:p>
            <w:pPr>
              <w:jc w:val="both"/>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762" w:type="pct"/>
            <w:tcBorders>
              <w:top w:val="nil"/>
              <w:left w:val="nil"/>
              <w:bottom w:val="single" w:color="auto" w:sz="8" w:space="0"/>
              <w:right w:val="single" w:color="auto" w:sz="8" w:space="0"/>
            </w:tcBorders>
            <w:vAlign w:val="center"/>
          </w:tcPr>
          <w:p>
            <w:pPr>
              <w:rPr>
                <w:rFonts w:ascii="宋体" w:hAnsi="宋体" w:eastAsia="宋体" w:cs="Times New Roman"/>
                <w:color w:val="000000"/>
                <w:sz w:val="18"/>
                <w:szCs w:val="18"/>
              </w:rPr>
            </w:pPr>
            <w:r>
              <w:rPr>
                <w:rFonts w:ascii="宋体" w:hAnsi="宋体" w:eastAsia="宋体" w:cs="Times New Roman"/>
                <w:color w:val="000000"/>
                <w:sz w:val="18"/>
                <w:szCs w:val="18"/>
              </w:rPr>
              <w:t> 鹰潭市华宇设备喷塑有限公司 </w:t>
            </w:r>
          </w:p>
        </w:tc>
        <w:tc>
          <w:tcPr>
            <w:tcW w:w="590"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宿舍 </w:t>
            </w:r>
          </w:p>
        </w:tc>
        <w:tc>
          <w:tcPr>
            <w:tcW w:w="585"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1年 </w:t>
            </w:r>
          </w:p>
        </w:tc>
        <w:tc>
          <w:tcPr>
            <w:tcW w:w="1326" w:type="pct"/>
            <w:tcBorders>
              <w:top w:val="nil"/>
              <w:left w:val="nil"/>
              <w:bottom w:val="single" w:color="auto" w:sz="8" w:space="0"/>
              <w:right w:val="single" w:color="auto" w:sz="8" w:space="0"/>
            </w:tcBorders>
            <w:vAlign w:val="center"/>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8,571.43</w:t>
            </w:r>
          </w:p>
        </w:tc>
      </w:tr>
      <w:tr>
        <w:tblPrEx>
          <w:tblCellMar>
            <w:top w:w="0" w:type="dxa"/>
            <w:left w:w="0" w:type="dxa"/>
            <w:bottom w:w="0" w:type="dxa"/>
            <w:right w:w="0" w:type="dxa"/>
          </w:tblCellMar>
        </w:tblPrEx>
        <w:trPr>
          <w:trHeight w:val="264" w:hRule="atLeast"/>
        </w:trPr>
        <w:tc>
          <w:tcPr>
            <w:tcW w:w="738" w:type="pct"/>
            <w:tcBorders>
              <w:top w:val="nil"/>
              <w:left w:val="single" w:color="auto" w:sz="8" w:space="0"/>
              <w:bottom w:val="single" w:color="auto" w:sz="8" w:space="0"/>
              <w:right w:val="single" w:color="auto" w:sz="8" w:space="0"/>
            </w:tcBorders>
            <w:vAlign w:val="center"/>
          </w:tcPr>
          <w:p>
            <w:pPr>
              <w:jc w:val="both"/>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762" w:type="pct"/>
            <w:tcBorders>
              <w:top w:val="nil"/>
              <w:left w:val="nil"/>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鹰潭市优淘网络科技有限公司 </w:t>
            </w:r>
          </w:p>
        </w:tc>
        <w:tc>
          <w:tcPr>
            <w:tcW w:w="590" w:type="pct"/>
            <w:tcBorders>
              <w:top w:val="nil"/>
              <w:left w:val="nil"/>
              <w:bottom w:val="single" w:color="auto" w:sz="8" w:space="0"/>
              <w:right w:val="single" w:color="auto" w:sz="8" w:space="0"/>
            </w:tcBorders>
            <w:noWrap/>
            <w:vAlign w:val="bottom"/>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厂房 </w:t>
            </w:r>
          </w:p>
        </w:tc>
        <w:tc>
          <w:tcPr>
            <w:tcW w:w="585" w:type="pct"/>
            <w:tcBorders>
              <w:top w:val="nil"/>
              <w:left w:val="nil"/>
              <w:bottom w:val="single" w:color="auto" w:sz="8" w:space="0"/>
              <w:right w:val="single" w:color="auto" w:sz="8" w:space="0"/>
            </w:tcBorders>
            <w:noWrap/>
            <w:vAlign w:val="bottom"/>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1年 </w:t>
            </w:r>
          </w:p>
        </w:tc>
        <w:tc>
          <w:tcPr>
            <w:tcW w:w="1326" w:type="pct"/>
            <w:tcBorders>
              <w:top w:val="nil"/>
              <w:left w:val="nil"/>
              <w:bottom w:val="single" w:color="auto" w:sz="8" w:space="0"/>
              <w:right w:val="single" w:color="auto" w:sz="8" w:space="0"/>
            </w:tcBorders>
            <w:noWrap/>
            <w:vAlign w:val="bottom"/>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52,609.77</w:t>
            </w:r>
          </w:p>
        </w:tc>
      </w:tr>
      <w:tr>
        <w:tblPrEx>
          <w:tblCellMar>
            <w:top w:w="0" w:type="dxa"/>
            <w:left w:w="0" w:type="dxa"/>
            <w:bottom w:w="0" w:type="dxa"/>
            <w:right w:w="0" w:type="dxa"/>
          </w:tblCellMar>
        </w:tblPrEx>
        <w:trPr>
          <w:trHeight w:val="264" w:hRule="atLeast"/>
        </w:trPr>
        <w:tc>
          <w:tcPr>
            <w:tcW w:w="738" w:type="pct"/>
            <w:tcBorders>
              <w:top w:val="nil"/>
              <w:left w:val="single" w:color="auto" w:sz="8" w:space="0"/>
              <w:bottom w:val="single" w:color="auto" w:sz="8" w:space="0"/>
              <w:right w:val="single" w:color="auto" w:sz="8" w:space="0"/>
            </w:tcBorders>
            <w:vAlign w:val="center"/>
          </w:tcPr>
          <w:p>
            <w:pPr>
              <w:jc w:val="both"/>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762" w:type="pct"/>
            <w:tcBorders>
              <w:top w:val="nil"/>
              <w:left w:val="nil"/>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鹰潭道朴智能科技有限责任公司 </w:t>
            </w:r>
          </w:p>
        </w:tc>
        <w:tc>
          <w:tcPr>
            <w:tcW w:w="590" w:type="pct"/>
            <w:tcBorders>
              <w:top w:val="nil"/>
              <w:left w:val="nil"/>
              <w:bottom w:val="single" w:color="auto" w:sz="8" w:space="0"/>
              <w:right w:val="single" w:color="auto" w:sz="8" w:space="0"/>
            </w:tcBorders>
            <w:noWrap/>
            <w:vAlign w:val="bottom"/>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厂房 </w:t>
            </w:r>
          </w:p>
        </w:tc>
        <w:tc>
          <w:tcPr>
            <w:tcW w:w="585" w:type="pct"/>
            <w:tcBorders>
              <w:top w:val="nil"/>
              <w:left w:val="nil"/>
              <w:bottom w:val="single" w:color="auto" w:sz="8" w:space="0"/>
              <w:right w:val="single" w:color="auto" w:sz="8" w:space="0"/>
            </w:tcBorders>
            <w:noWrap/>
            <w:vAlign w:val="bottom"/>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7年 </w:t>
            </w:r>
          </w:p>
        </w:tc>
        <w:tc>
          <w:tcPr>
            <w:tcW w:w="1326" w:type="pct"/>
            <w:tcBorders>
              <w:top w:val="nil"/>
              <w:left w:val="nil"/>
              <w:bottom w:val="single" w:color="auto" w:sz="8" w:space="0"/>
              <w:right w:val="single" w:color="auto" w:sz="8" w:space="0"/>
            </w:tcBorders>
            <w:noWrap/>
            <w:vAlign w:val="bottom"/>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106,666.68</w:t>
            </w:r>
          </w:p>
        </w:tc>
      </w:tr>
      <w:tr>
        <w:tblPrEx>
          <w:tblCellMar>
            <w:top w:w="0" w:type="dxa"/>
            <w:left w:w="0" w:type="dxa"/>
            <w:bottom w:w="0" w:type="dxa"/>
            <w:right w:w="0" w:type="dxa"/>
          </w:tblCellMar>
        </w:tblPrEx>
        <w:trPr>
          <w:trHeight w:val="264" w:hRule="atLeast"/>
        </w:trPr>
        <w:tc>
          <w:tcPr>
            <w:tcW w:w="738" w:type="pct"/>
            <w:tcBorders>
              <w:top w:val="nil"/>
              <w:left w:val="single" w:color="auto" w:sz="8" w:space="0"/>
              <w:bottom w:val="single" w:color="auto" w:sz="8" w:space="0"/>
              <w:right w:val="single" w:color="auto" w:sz="8" w:space="0"/>
            </w:tcBorders>
            <w:vAlign w:val="center"/>
          </w:tcPr>
          <w:p>
            <w:pPr>
              <w:jc w:val="both"/>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762" w:type="pct"/>
            <w:tcBorders>
              <w:top w:val="nil"/>
              <w:left w:val="nil"/>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鹰潭星创新材料有限公司 </w:t>
            </w:r>
          </w:p>
        </w:tc>
        <w:tc>
          <w:tcPr>
            <w:tcW w:w="590" w:type="pct"/>
            <w:tcBorders>
              <w:top w:val="nil"/>
              <w:left w:val="nil"/>
              <w:bottom w:val="single" w:color="auto" w:sz="8" w:space="0"/>
              <w:right w:val="single" w:color="auto" w:sz="8" w:space="0"/>
            </w:tcBorders>
            <w:noWrap/>
            <w:vAlign w:val="bottom"/>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厂房 </w:t>
            </w:r>
          </w:p>
        </w:tc>
        <w:tc>
          <w:tcPr>
            <w:tcW w:w="585" w:type="pct"/>
            <w:tcBorders>
              <w:top w:val="nil"/>
              <w:left w:val="nil"/>
              <w:bottom w:val="single" w:color="auto" w:sz="8" w:space="0"/>
              <w:right w:val="single" w:color="auto" w:sz="8" w:space="0"/>
            </w:tcBorders>
            <w:noWrap/>
            <w:vAlign w:val="bottom"/>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1年 </w:t>
            </w:r>
          </w:p>
        </w:tc>
        <w:tc>
          <w:tcPr>
            <w:tcW w:w="1326" w:type="pct"/>
            <w:tcBorders>
              <w:top w:val="nil"/>
              <w:left w:val="nil"/>
              <w:bottom w:val="single" w:color="auto" w:sz="8" w:space="0"/>
              <w:right w:val="single" w:color="auto" w:sz="8" w:space="0"/>
            </w:tcBorders>
            <w:noWrap/>
            <w:vAlign w:val="bottom"/>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142,628.58</w:t>
            </w:r>
          </w:p>
        </w:tc>
      </w:tr>
      <w:tr>
        <w:tblPrEx>
          <w:tblCellMar>
            <w:top w:w="0" w:type="dxa"/>
            <w:left w:w="0" w:type="dxa"/>
            <w:bottom w:w="0" w:type="dxa"/>
            <w:right w:w="0" w:type="dxa"/>
          </w:tblCellMar>
        </w:tblPrEx>
        <w:trPr>
          <w:trHeight w:val="264" w:hRule="atLeast"/>
        </w:trPr>
        <w:tc>
          <w:tcPr>
            <w:tcW w:w="738" w:type="pct"/>
            <w:tcBorders>
              <w:top w:val="nil"/>
              <w:left w:val="single" w:color="auto" w:sz="8" w:space="0"/>
              <w:bottom w:val="single" w:color="auto" w:sz="8" w:space="0"/>
              <w:right w:val="single" w:color="auto" w:sz="8" w:space="0"/>
            </w:tcBorders>
            <w:vAlign w:val="center"/>
          </w:tcPr>
          <w:p>
            <w:pPr>
              <w:jc w:val="both"/>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762" w:type="pct"/>
            <w:tcBorders>
              <w:top w:val="nil"/>
              <w:left w:val="nil"/>
              <w:bottom w:val="single" w:color="auto" w:sz="8" w:space="0"/>
              <w:right w:val="single" w:color="auto" w:sz="8" w:space="0"/>
            </w:tcBorders>
            <w:vAlign w:val="center"/>
          </w:tcPr>
          <w:p>
            <w:pPr>
              <w:rPr>
                <w:rFonts w:ascii="宋体" w:hAnsi="宋体" w:eastAsia="宋体" w:cs="Times New Roman"/>
                <w:color w:val="000000"/>
                <w:sz w:val="18"/>
                <w:szCs w:val="18"/>
              </w:rPr>
            </w:pPr>
            <w:r>
              <w:rPr>
                <w:rFonts w:ascii="宋体" w:hAnsi="宋体" w:eastAsia="宋体" w:cs="Times New Roman"/>
                <w:color w:val="000000"/>
                <w:sz w:val="18"/>
                <w:szCs w:val="18"/>
              </w:rPr>
              <w:t> 鹰潭市东航纳米科技有限公司 </w:t>
            </w:r>
          </w:p>
        </w:tc>
        <w:tc>
          <w:tcPr>
            <w:tcW w:w="590"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厂房 </w:t>
            </w:r>
          </w:p>
        </w:tc>
        <w:tc>
          <w:tcPr>
            <w:tcW w:w="585"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1年 </w:t>
            </w:r>
          </w:p>
        </w:tc>
        <w:tc>
          <w:tcPr>
            <w:tcW w:w="1326" w:type="pct"/>
            <w:tcBorders>
              <w:top w:val="nil"/>
              <w:left w:val="nil"/>
              <w:bottom w:val="single" w:color="auto" w:sz="8" w:space="0"/>
              <w:right w:val="single" w:color="auto" w:sz="8" w:space="0"/>
            </w:tcBorders>
            <w:vAlign w:val="center"/>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68,571.43</w:t>
            </w:r>
          </w:p>
        </w:tc>
      </w:tr>
      <w:tr>
        <w:tblPrEx>
          <w:tblCellMar>
            <w:top w:w="0" w:type="dxa"/>
            <w:left w:w="0" w:type="dxa"/>
            <w:bottom w:w="0" w:type="dxa"/>
            <w:right w:w="0" w:type="dxa"/>
          </w:tblCellMar>
        </w:tblPrEx>
        <w:trPr>
          <w:trHeight w:val="264" w:hRule="atLeast"/>
        </w:trPr>
        <w:tc>
          <w:tcPr>
            <w:tcW w:w="738" w:type="pct"/>
            <w:tcBorders>
              <w:top w:val="nil"/>
              <w:left w:val="single" w:color="auto" w:sz="8" w:space="0"/>
              <w:bottom w:val="single" w:color="auto" w:sz="8" w:space="0"/>
              <w:right w:val="single" w:color="auto" w:sz="8" w:space="0"/>
            </w:tcBorders>
            <w:vAlign w:val="center"/>
          </w:tcPr>
          <w:p>
            <w:pPr>
              <w:jc w:val="both"/>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762" w:type="pct"/>
            <w:tcBorders>
              <w:top w:val="nil"/>
              <w:left w:val="nil"/>
              <w:bottom w:val="single" w:color="auto" w:sz="8" w:space="0"/>
              <w:right w:val="single" w:color="auto" w:sz="8" w:space="0"/>
            </w:tcBorders>
            <w:vAlign w:val="center"/>
          </w:tcPr>
          <w:p>
            <w:pPr>
              <w:rPr>
                <w:rFonts w:ascii="宋体" w:hAnsi="宋体" w:eastAsia="宋体" w:cs="Times New Roman"/>
                <w:color w:val="000000"/>
                <w:sz w:val="18"/>
                <w:szCs w:val="18"/>
              </w:rPr>
            </w:pPr>
            <w:r>
              <w:rPr>
                <w:rFonts w:ascii="宋体" w:hAnsi="宋体" w:eastAsia="宋体" w:cs="Times New Roman"/>
                <w:color w:val="000000"/>
                <w:sz w:val="18"/>
                <w:szCs w:val="18"/>
              </w:rPr>
              <w:t> 鹰潭市东航纳米科技有限公司 </w:t>
            </w:r>
          </w:p>
        </w:tc>
        <w:tc>
          <w:tcPr>
            <w:tcW w:w="590"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宿舍 </w:t>
            </w:r>
          </w:p>
        </w:tc>
        <w:tc>
          <w:tcPr>
            <w:tcW w:w="585"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1年 </w:t>
            </w:r>
          </w:p>
        </w:tc>
        <w:tc>
          <w:tcPr>
            <w:tcW w:w="1326" w:type="pct"/>
            <w:tcBorders>
              <w:top w:val="nil"/>
              <w:left w:val="nil"/>
              <w:bottom w:val="single" w:color="auto" w:sz="8" w:space="0"/>
              <w:right w:val="single" w:color="auto" w:sz="8" w:space="0"/>
            </w:tcBorders>
            <w:vAlign w:val="center"/>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6,857.14</w:t>
            </w:r>
          </w:p>
        </w:tc>
      </w:tr>
      <w:tr>
        <w:tblPrEx>
          <w:tblCellMar>
            <w:top w:w="0" w:type="dxa"/>
            <w:left w:w="0" w:type="dxa"/>
            <w:bottom w:w="0" w:type="dxa"/>
            <w:right w:w="0" w:type="dxa"/>
          </w:tblCellMar>
        </w:tblPrEx>
        <w:trPr>
          <w:trHeight w:val="330" w:hRule="atLeast"/>
        </w:trPr>
        <w:tc>
          <w:tcPr>
            <w:tcW w:w="738" w:type="pct"/>
            <w:tcBorders>
              <w:top w:val="nil"/>
              <w:left w:val="single" w:color="auto" w:sz="8" w:space="0"/>
              <w:bottom w:val="single" w:color="auto" w:sz="8" w:space="0"/>
              <w:right w:val="single" w:color="auto" w:sz="8" w:space="0"/>
            </w:tcBorders>
            <w:vAlign w:val="center"/>
          </w:tcPr>
          <w:p>
            <w:pPr>
              <w:jc w:val="both"/>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762" w:type="pct"/>
            <w:tcBorders>
              <w:top w:val="nil"/>
              <w:left w:val="nil"/>
              <w:bottom w:val="single" w:color="auto" w:sz="8" w:space="0"/>
              <w:right w:val="single" w:color="auto" w:sz="8" w:space="0"/>
            </w:tcBorders>
            <w:vAlign w:val="center"/>
          </w:tcPr>
          <w:p>
            <w:pPr>
              <w:rPr>
                <w:rFonts w:ascii="宋体" w:hAnsi="宋体" w:eastAsia="宋体" w:cs="Times New Roman"/>
                <w:color w:val="000000"/>
                <w:sz w:val="18"/>
                <w:szCs w:val="18"/>
              </w:rPr>
            </w:pPr>
            <w:r>
              <w:rPr>
                <w:rFonts w:ascii="宋体" w:hAnsi="宋体" w:eastAsia="宋体" w:cs="Times New Roman"/>
                <w:color w:val="000000"/>
                <w:sz w:val="18"/>
                <w:szCs w:val="18"/>
              </w:rPr>
              <w:t> 江西川仪三川智慧水务科技有限公司 </w:t>
            </w:r>
          </w:p>
        </w:tc>
        <w:tc>
          <w:tcPr>
            <w:tcW w:w="590"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厂房 </w:t>
            </w:r>
          </w:p>
        </w:tc>
        <w:tc>
          <w:tcPr>
            <w:tcW w:w="585"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1年 </w:t>
            </w:r>
          </w:p>
        </w:tc>
        <w:tc>
          <w:tcPr>
            <w:tcW w:w="1326" w:type="pct"/>
            <w:tcBorders>
              <w:top w:val="nil"/>
              <w:left w:val="nil"/>
              <w:bottom w:val="single" w:color="auto" w:sz="8" w:space="0"/>
              <w:right w:val="single" w:color="auto" w:sz="8" w:space="0"/>
            </w:tcBorders>
            <w:vAlign w:val="center"/>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279,771.43</w:t>
            </w:r>
          </w:p>
        </w:tc>
      </w:tr>
      <w:tr>
        <w:tblPrEx>
          <w:tblCellMar>
            <w:top w:w="0" w:type="dxa"/>
            <w:left w:w="0" w:type="dxa"/>
            <w:bottom w:w="0" w:type="dxa"/>
            <w:right w:w="0" w:type="dxa"/>
          </w:tblCellMar>
        </w:tblPrEx>
        <w:trPr>
          <w:trHeight w:val="264" w:hRule="atLeast"/>
        </w:trPr>
        <w:tc>
          <w:tcPr>
            <w:tcW w:w="738" w:type="pct"/>
            <w:tcBorders>
              <w:top w:val="nil"/>
              <w:left w:val="single" w:color="auto" w:sz="8" w:space="0"/>
              <w:bottom w:val="single" w:color="auto" w:sz="8" w:space="0"/>
              <w:right w:val="single" w:color="auto" w:sz="8" w:space="0"/>
            </w:tcBorders>
            <w:vAlign w:val="center"/>
          </w:tcPr>
          <w:p>
            <w:pPr>
              <w:jc w:val="both"/>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762" w:type="pct"/>
            <w:tcBorders>
              <w:top w:val="nil"/>
              <w:left w:val="nil"/>
              <w:bottom w:val="single" w:color="auto" w:sz="8" w:space="0"/>
              <w:right w:val="single" w:color="auto" w:sz="8" w:space="0"/>
            </w:tcBorders>
            <w:vAlign w:val="center"/>
          </w:tcPr>
          <w:p>
            <w:pPr>
              <w:rPr>
                <w:rFonts w:ascii="宋体" w:hAnsi="宋体" w:eastAsia="宋体" w:cs="Times New Roman"/>
                <w:color w:val="000000"/>
                <w:sz w:val="18"/>
                <w:szCs w:val="18"/>
              </w:rPr>
            </w:pPr>
            <w:r>
              <w:rPr>
                <w:rFonts w:ascii="宋体" w:hAnsi="宋体" w:eastAsia="宋体" w:cs="Times New Roman"/>
                <w:color w:val="000000"/>
                <w:sz w:val="18"/>
                <w:szCs w:val="18"/>
              </w:rPr>
              <w:t> 吴腾飞 </w:t>
            </w:r>
          </w:p>
        </w:tc>
        <w:tc>
          <w:tcPr>
            <w:tcW w:w="590"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写字楼 </w:t>
            </w:r>
          </w:p>
        </w:tc>
        <w:tc>
          <w:tcPr>
            <w:tcW w:w="585"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2年 </w:t>
            </w:r>
          </w:p>
        </w:tc>
        <w:tc>
          <w:tcPr>
            <w:tcW w:w="1326" w:type="pct"/>
            <w:tcBorders>
              <w:top w:val="nil"/>
              <w:left w:val="nil"/>
              <w:bottom w:val="single" w:color="auto" w:sz="8" w:space="0"/>
              <w:right w:val="single" w:color="auto" w:sz="8" w:space="0"/>
            </w:tcBorders>
            <w:vAlign w:val="center"/>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290,741.57</w:t>
            </w:r>
          </w:p>
        </w:tc>
      </w:tr>
      <w:tr>
        <w:tblPrEx>
          <w:tblCellMar>
            <w:top w:w="0" w:type="dxa"/>
            <w:left w:w="0" w:type="dxa"/>
            <w:bottom w:w="0" w:type="dxa"/>
            <w:right w:w="0" w:type="dxa"/>
          </w:tblCellMar>
        </w:tblPrEx>
        <w:trPr>
          <w:trHeight w:val="264" w:hRule="atLeast"/>
        </w:trPr>
        <w:tc>
          <w:tcPr>
            <w:tcW w:w="738" w:type="pct"/>
            <w:tcBorders>
              <w:top w:val="nil"/>
              <w:left w:val="single" w:color="auto" w:sz="8" w:space="0"/>
              <w:bottom w:val="single" w:color="auto" w:sz="8" w:space="0"/>
              <w:right w:val="single" w:color="auto" w:sz="8" w:space="0"/>
            </w:tcBorders>
            <w:vAlign w:val="center"/>
          </w:tcPr>
          <w:p>
            <w:pPr>
              <w:jc w:val="both"/>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762" w:type="pct"/>
            <w:tcBorders>
              <w:top w:val="nil"/>
              <w:left w:val="nil"/>
              <w:bottom w:val="single" w:color="auto" w:sz="8" w:space="0"/>
              <w:right w:val="single" w:color="auto" w:sz="8" w:space="0"/>
            </w:tcBorders>
            <w:vAlign w:val="center"/>
          </w:tcPr>
          <w:p>
            <w:pPr>
              <w:rPr>
                <w:rFonts w:ascii="宋体" w:hAnsi="宋体" w:eastAsia="宋体" w:cs="Times New Roman"/>
                <w:color w:val="000000"/>
                <w:sz w:val="18"/>
                <w:szCs w:val="18"/>
              </w:rPr>
            </w:pPr>
            <w:r>
              <w:rPr>
                <w:rFonts w:ascii="宋体" w:hAnsi="宋体" w:eastAsia="宋体" w:cs="Times New Roman"/>
                <w:color w:val="000000"/>
                <w:sz w:val="18"/>
                <w:szCs w:val="18"/>
              </w:rPr>
              <w:t> 管琳琳 </w:t>
            </w:r>
          </w:p>
        </w:tc>
        <w:tc>
          <w:tcPr>
            <w:tcW w:w="590"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住房 </w:t>
            </w:r>
          </w:p>
        </w:tc>
        <w:tc>
          <w:tcPr>
            <w:tcW w:w="585"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4年 </w:t>
            </w:r>
          </w:p>
        </w:tc>
        <w:tc>
          <w:tcPr>
            <w:tcW w:w="1326" w:type="pct"/>
            <w:tcBorders>
              <w:top w:val="nil"/>
              <w:left w:val="nil"/>
              <w:bottom w:val="single" w:color="auto" w:sz="8" w:space="0"/>
              <w:right w:val="single" w:color="auto" w:sz="8" w:space="0"/>
            </w:tcBorders>
            <w:vAlign w:val="center"/>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25,771.43</w:t>
            </w:r>
          </w:p>
        </w:tc>
      </w:tr>
      <w:tr>
        <w:tblPrEx>
          <w:tblCellMar>
            <w:top w:w="0" w:type="dxa"/>
            <w:left w:w="0" w:type="dxa"/>
            <w:bottom w:w="0" w:type="dxa"/>
            <w:right w:w="0" w:type="dxa"/>
          </w:tblCellMar>
        </w:tblPrEx>
        <w:trPr>
          <w:trHeight w:val="264" w:hRule="atLeast"/>
        </w:trPr>
        <w:tc>
          <w:tcPr>
            <w:tcW w:w="738" w:type="pct"/>
            <w:tcBorders>
              <w:top w:val="nil"/>
              <w:left w:val="single" w:color="auto" w:sz="8" w:space="0"/>
              <w:bottom w:val="single" w:color="auto" w:sz="8" w:space="0"/>
              <w:right w:val="single" w:color="auto" w:sz="8" w:space="0"/>
            </w:tcBorders>
            <w:vAlign w:val="center"/>
          </w:tcPr>
          <w:p>
            <w:pPr>
              <w:jc w:val="both"/>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762" w:type="pct"/>
            <w:tcBorders>
              <w:top w:val="nil"/>
              <w:left w:val="nil"/>
              <w:bottom w:val="single" w:color="auto" w:sz="8" w:space="0"/>
              <w:right w:val="single" w:color="auto" w:sz="8" w:space="0"/>
            </w:tcBorders>
            <w:vAlign w:val="center"/>
          </w:tcPr>
          <w:p>
            <w:pPr>
              <w:rPr>
                <w:rFonts w:ascii="宋体" w:hAnsi="宋体" w:eastAsia="宋体" w:cs="Times New Roman"/>
                <w:color w:val="000000"/>
                <w:sz w:val="18"/>
                <w:szCs w:val="18"/>
              </w:rPr>
            </w:pPr>
            <w:r>
              <w:rPr>
                <w:rFonts w:ascii="宋体" w:hAnsi="宋体" w:eastAsia="宋体" w:cs="Times New Roman"/>
                <w:color w:val="000000"/>
                <w:sz w:val="18"/>
                <w:szCs w:val="18"/>
              </w:rPr>
              <w:t> 浙江博樾科技有限公司 </w:t>
            </w:r>
          </w:p>
        </w:tc>
        <w:tc>
          <w:tcPr>
            <w:tcW w:w="590"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住房 </w:t>
            </w:r>
          </w:p>
        </w:tc>
        <w:tc>
          <w:tcPr>
            <w:tcW w:w="585"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1年 </w:t>
            </w:r>
          </w:p>
        </w:tc>
        <w:tc>
          <w:tcPr>
            <w:tcW w:w="1326" w:type="pct"/>
            <w:tcBorders>
              <w:top w:val="nil"/>
              <w:left w:val="nil"/>
              <w:bottom w:val="single" w:color="auto" w:sz="8" w:space="0"/>
              <w:right w:val="single" w:color="auto" w:sz="8" w:space="0"/>
            </w:tcBorders>
            <w:vAlign w:val="center"/>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7,809.52</w:t>
            </w:r>
          </w:p>
        </w:tc>
      </w:tr>
      <w:tr>
        <w:tblPrEx>
          <w:tblCellMar>
            <w:top w:w="0" w:type="dxa"/>
            <w:left w:w="0" w:type="dxa"/>
            <w:bottom w:w="0" w:type="dxa"/>
            <w:right w:w="0" w:type="dxa"/>
          </w:tblCellMar>
        </w:tblPrEx>
        <w:trPr>
          <w:trHeight w:val="264" w:hRule="atLeast"/>
        </w:trPr>
        <w:tc>
          <w:tcPr>
            <w:tcW w:w="738" w:type="pct"/>
            <w:tcBorders>
              <w:top w:val="nil"/>
              <w:left w:val="single" w:color="auto" w:sz="8" w:space="0"/>
              <w:bottom w:val="single" w:color="auto" w:sz="8" w:space="0"/>
              <w:right w:val="single" w:color="auto" w:sz="8" w:space="0"/>
            </w:tcBorders>
            <w:vAlign w:val="center"/>
          </w:tcPr>
          <w:p>
            <w:pPr>
              <w:jc w:val="both"/>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762" w:type="pct"/>
            <w:tcBorders>
              <w:top w:val="nil"/>
              <w:left w:val="nil"/>
              <w:bottom w:val="single" w:color="auto" w:sz="8" w:space="0"/>
              <w:right w:val="single" w:color="auto" w:sz="8" w:space="0"/>
            </w:tcBorders>
            <w:vAlign w:val="center"/>
          </w:tcPr>
          <w:p>
            <w:pPr>
              <w:rPr>
                <w:rFonts w:ascii="宋体" w:hAnsi="宋体" w:eastAsia="宋体" w:cs="Times New Roman"/>
                <w:color w:val="000000"/>
                <w:sz w:val="18"/>
                <w:szCs w:val="18"/>
              </w:rPr>
            </w:pPr>
            <w:r>
              <w:rPr>
                <w:rFonts w:ascii="宋体" w:hAnsi="宋体" w:eastAsia="宋体" w:cs="Times New Roman"/>
                <w:color w:val="000000"/>
                <w:sz w:val="18"/>
                <w:szCs w:val="18"/>
              </w:rPr>
              <w:t> 宁波惠泰光电科技有限公司 </w:t>
            </w:r>
          </w:p>
        </w:tc>
        <w:tc>
          <w:tcPr>
            <w:tcW w:w="590"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住房 </w:t>
            </w:r>
          </w:p>
        </w:tc>
        <w:tc>
          <w:tcPr>
            <w:tcW w:w="585"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2年 </w:t>
            </w:r>
          </w:p>
        </w:tc>
        <w:tc>
          <w:tcPr>
            <w:tcW w:w="1326" w:type="pct"/>
            <w:tcBorders>
              <w:top w:val="nil"/>
              <w:left w:val="nil"/>
              <w:bottom w:val="single" w:color="auto" w:sz="8" w:space="0"/>
              <w:right w:val="single" w:color="auto" w:sz="8" w:space="0"/>
            </w:tcBorders>
            <w:vAlign w:val="center"/>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26,085.71</w:t>
            </w:r>
          </w:p>
        </w:tc>
      </w:tr>
      <w:tr>
        <w:tblPrEx>
          <w:tblCellMar>
            <w:top w:w="0" w:type="dxa"/>
            <w:left w:w="0" w:type="dxa"/>
            <w:bottom w:w="0" w:type="dxa"/>
            <w:right w:w="0" w:type="dxa"/>
          </w:tblCellMar>
        </w:tblPrEx>
        <w:trPr>
          <w:trHeight w:val="264" w:hRule="atLeast"/>
        </w:trPr>
        <w:tc>
          <w:tcPr>
            <w:tcW w:w="738" w:type="pct"/>
            <w:tcBorders>
              <w:top w:val="nil"/>
              <w:left w:val="single" w:color="auto" w:sz="8" w:space="0"/>
              <w:bottom w:val="single" w:color="auto" w:sz="8" w:space="0"/>
              <w:right w:val="single" w:color="auto" w:sz="8" w:space="0"/>
            </w:tcBorders>
            <w:vAlign w:val="center"/>
          </w:tcPr>
          <w:p>
            <w:pPr>
              <w:jc w:val="both"/>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762" w:type="pct"/>
            <w:tcBorders>
              <w:top w:val="nil"/>
              <w:left w:val="nil"/>
              <w:bottom w:val="single" w:color="auto" w:sz="8" w:space="0"/>
              <w:right w:val="single" w:color="auto" w:sz="8" w:space="0"/>
            </w:tcBorders>
            <w:vAlign w:val="center"/>
          </w:tcPr>
          <w:p>
            <w:pPr>
              <w:rPr>
                <w:rFonts w:ascii="宋体" w:hAnsi="宋体" w:eastAsia="宋体" w:cs="Times New Roman"/>
                <w:color w:val="000000"/>
                <w:sz w:val="18"/>
                <w:szCs w:val="18"/>
              </w:rPr>
            </w:pPr>
            <w:r>
              <w:rPr>
                <w:rFonts w:ascii="宋体" w:hAnsi="宋体" w:eastAsia="宋体" w:cs="Times New Roman"/>
                <w:color w:val="000000"/>
                <w:sz w:val="18"/>
                <w:szCs w:val="18"/>
              </w:rPr>
              <w:t> 宁波科浩智能科技有限公司 </w:t>
            </w:r>
          </w:p>
        </w:tc>
        <w:tc>
          <w:tcPr>
            <w:tcW w:w="590"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住房 </w:t>
            </w:r>
          </w:p>
        </w:tc>
        <w:tc>
          <w:tcPr>
            <w:tcW w:w="585"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2年 </w:t>
            </w:r>
          </w:p>
        </w:tc>
        <w:tc>
          <w:tcPr>
            <w:tcW w:w="1326" w:type="pct"/>
            <w:tcBorders>
              <w:top w:val="nil"/>
              <w:left w:val="nil"/>
              <w:bottom w:val="single" w:color="auto" w:sz="8" w:space="0"/>
              <w:right w:val="single" w:color="auto" w:sz="8" w:space="0"/>
            </w:tcBorders>
            <w:vAlign w:val="center"/>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28,971.42</w:t>
            </w:r>
          </w:p>
        </w:tc>
      </w:tr>
      <w:tr>
        <w:tblPrEx>
          <w:tblCellMar>
            <w:top w:w="0" w:type="dxa"/>
            <w:left w:w="0" w:type="dxa"/>
            <w:bottom w:w="0" w:type="dxa"/>
            <w:right w:w="0" w:type="dxa"/>
          </w:tblCellMar>
        </w:tblPrEx>
        <w:trPr>
          <w:trHeight w:val="264" w:hRule="atLeast"/>
        </w:trPr>
        <w:tc>
          <w:tcPr>
            <w:tcW w:w="738" w:type="pct"/>
            <w:tcBorders>
              <w:top w:val="nil"/>
              <w:left w:val="single" w:color="auto" w:sz="8" w:space="0"/>
              <w:bottom w:val="single" w:color="auto" w:sz="8" w:space="0"/>
              <w:right w:val="single" w:color="auto" w:sz="8" w:space="0"/>
            </w:tcBorders>
            <w:vAlign w:val="center"/>
          </w:tcPr>
          <w:p>
            <w:pPr>
              <w:jc w:val="both"/>
              <w:rPr>
                <w:rFonts w:ascii="宋体" w:hAnsi="宋体" w:eastAsia="宋体" w:cs="宋体"/>
                <w:color w:val="000000"/>
                <w:sz w:val="18"/>
                <w:szCs w:val="18"/>
              </w:rPr>
            </w:pPr>
            <w:r>
              <w:rPr>
                <w:rFonts w:hint="eastAsia" w:ascii="宋体" w:hAnsi="宋体" w:eastAsia="宋体"/>
                <w:color w:val="000000"/>
                <w:sz w:val="18"/>
                <w:szCs w:val="18"/>
              </w:rPr>
              <w:t> 山东三川 </w:t>
            </w:r>
          </w:p>
        </w:tc>
        <w:tc>
          <w:tcPr>
            <w:tcW w:w="1762" w:type="pct"/>
            <w:tcBorders>
              <w:top w:val="nil"/>
              <w:left w:val="nil"/>
              <w:bottom w:val="single" w:color="auto" w:sz="8" w:space="0"/>
              <w:right w:val="single" w:color="auto" w:sz="8" w:space="0"/>
            </w:tcBorders>
            <w:vAlign w:val="center"/>
          </w:tcPr>
          <w:p>
            <w:pPr>
              <w:rPr>
                <w:rFonts w:ascii="宋体" w:hAnsi="宋体" w:eastAsia="宋体"/>
                <w:color w:val="000000"/>
                <w:sz w:val="18"/>
                <w:szCs w:val="18"/>
              </w:rPr>
            </w:pPr>
            <w:r>
              <w:rPr>
                <w:rFonts w:hint="eastAsia" w:ascii="宋体" w:hAnsi="宋体" w:eastAsia="宋体"/>
                <w:color w:val="000000"/>
                <w:sz w:val="18"/>
                <w:szCs w:val="18"/>
              </w:rPr>
              <w:t> 临沂市鲁蒙水表制造有限公司 </w:t>
            </w:r>
          </w:p>
        </w:tc>
        <w:tc>
          <w:tcPr>
            <w:tcW w:w="590"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土地使用权 </w:t>
            </w:r>
          </w:p>
        </w:tc>
        <w:tc>
          <w:tcPr>
            <w:tcW w:w="585"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20年 </w:t>
            </w:r>
          </w:p>
        </w:tc>
        <w:tc>
          <w:tcPr>
            <w:tcW w:w="1326" w:type="pct"/>
            <w:tcBorders>
              <w:top w:val="nil"/>
              <w:left w:val="nil"/>
              <w:bottom w:val="single" w:color="auto" w:sz="8" w:space="0"/>
              <w:right w:val="single" w:color="auto" w:sz="8" w:space="0"/>
            </w:tcBorders>
            <w:vAlign w:val="center"/>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228,748.94</w:t>
            </w:r>
          </w:p>
        </w:tc>
      </w:tr>
      <w:tr>
        <w:tblPrEx>
          <w:tblCellMar>
            <w:top w:w="0" w:type="dxa"/>
            <w:left w:w="0" w:type="dxa"/>
            <w:bottom w:w="0" w:type="dxa"/>
            <w:right w:w="0" w:type="dxa"/>
          </w:tblCellMar>
        </w:tblPrEx>
        <w:trPr>
          <w:trHeight w:val="264" w:hRule="atLeast"/>
        </w:trPr>
        <w:tc>
          <w:tcPr>
            <w:tcW w:w="738" w:type="pct"/>
            <w:tcBorders>
              <w:top w:val="nil"/>
              <w:left w:val="single" w:color="auto" w:sz="8" w:space="0"/>
              <w:bottom w:val="single" w:color="auto" w:sz="8" w:space="0"/>
              <w:right w:val="single" w:color="auto" w:sz="8" w:space="0"/>
            </w:tcBorders>
            <w:vAlign w:val="center"/>
          </w:tcPr>
          <w:p>
            <w:pPr>
              <w:jc w:val="both"/>
              <w:rPr>
                <w:rFonts w:ascii="宋体" w:hAnsi="宋体" w:eastAsia="宋体" w:cs="Times New Roman"/>
                <w:color w:val="000000"/>
                <w:sz w:val="18"/>
                <w:szCs w:val="18"/>
              </w:rPr>
            </w:pPr>
            <w:r>
              <w:rPr>
                <w:rFonts w:ascii="宋体" w:hAnsi="宋体" w:eastAsia="宋体" w:cs="Times New Roman"/>
                <w:color w:val="000000"/>
                <w:sz w:val="18"/>
                <w:szCs w:val="18"/>
              </w:rPr>
              <w:t>　</w:t>
            </w:r>
          </w:p>
        </w:tc>
        <w:tc>
          <w:tcPr>
            <w:tcW w:w="1762"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合计 </w:t>
            </w:r>
          </w:p>
        </w:tc>
        <w:tc>
          <w:tcPr>
            <w:tcW w:w="590"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w:t>
            </w:r>
          </w:p>
        </w:tc>
        <w:tc>
          <w:tcPr>
            <w:tcW w:w="585" w:type="pct"/>
            <w:tcBorders>
              <w:top w:val="nil"/>
              <w:left w:val="nil"/>
              <w:bottom w:val="single" w:color="auto" w:sz="8" w:space="0"/>
              <w:right w:val="single" w:color="auto" w:sz="8" w:space="0"/>
            </w:tcBorders>
            <w:vAlign w:val="center"/>
          </w:tcPr>
          <w:p>
            <w:pPr>
              <w:jc w:val="center"/>
              <w:rPr>
                <w:rFonts w:ascii="宋体" w:hAnsi="宋体" w:eastAsia="宋体" w:cs="Times New Roman"/>
                <w:color w:val="000000"/>
                <w:sz w:val="18"/>
                <w:szCs w:val="18"/>
              </w:rPr>
            </w:pPr>
            <w:r>
              <w:rPr>
                <w:rFonts w:ascii="宋体" w:hAnsi="宋体" w:eastAsia="宋体" w:cs="Times New Roman"/>
                <w:color w:val="000000"/>
                <w:sz w:val="18"/>
                <w:szCs w:val="18"/>
              </w:rPr>
              <w:t>　</w:t>
            </w:r>
          </w:p>
        </w:tc>
        <w:tc>
          <w:tcPr>
            <w:tcW w:w="1326" w:type="pct"/>
            <w:tcBorders>
              <w:top w:val="nil"/>
              <w:left w:val="nil"/>
              <w:bottom w:val="single" w:color="auto" w:sz="8" w:space="0"/>
              <w:right w:val="single" w:color="auto" w:sz="8" w:space="0"/>
            </w:tcBorders>
            <w:vAlign w:val="center"/>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1,688,404.26</w:t>
            </w:r>
          </w:p>
        </w:tc>
      </w:tr>
    </w:tbl>
    <w:p>
      <w:pPr>
        <w:pStyle w:val="11"/>
        <w:spacing w:before="0" w:beforeAutospacing="0" w:after="0" w:afterAutospacing="0"/>
        <w:rPr>
          <w:sz w:val="18"/>
          <w:szCs w:val="18"/>
        </w:rPr>
      </w:pPr>
    </w:p>
    <w:p>
      <w:pPr>
        <w:pStyle w:val="11"/>
        <w:spacing w:before="0" w:beforeAutospacing="0" w:after="0" w:afterAutospacing="0"/>
        <w:rPr>
          <w:sz w:val="18"/>
          <w:szCs w:val="18"/>
        </w:rPr>
      </w:pPr>
      <w:r>
        <w:rPr>
          <w:rFonts w:hint="eastAsia"/>
          <w:sz w:val="18"/>
          <w:szCs w:val="18"/>
        </w:rPr>
        <w:t>2、公司租赁其他公司资产情况</w:t>
      </w:r>
    </w:p>
    <w:tbl>
      <w:tblPr>
        <w:tblStyle w:val="13"/>
        <w:tblW w:w="5000" w:type="pct"/>
        <w:tblInd w:w="0" w:type="dxa"/>
        <w:tblLayout w:type="fixed"/>
        <w:tblCellMar>
          <w:top w:w="0" w:type="dxa"/>
          <w:left w:w="0" w:type="dxa"/>
          <w:bottom w:w="0" w:type="dxa"/>
          <w:right w:w="0" w:type="dxa"/>
        </w:tblCellMar>
      </w:tblPr>
      <w:tblGrid>
        <w:gridCol w:w="3548"/>
        <w:gridCol w:w="2836"/>
        <w:gridCol w:w="3268"/>
      </w:tblGrid>
      <w:tr>
        <w:tblPrEx>
          <w:tblCellMar>
            <w:top w:w="0" w:type="dxa"/>
            <w:left w:w="0" w:type="dxa"/>
            <w:bottom w:w="0" w:type="dxa"/>
            <w:right w:w="0" w:type="dxa"/>
          </w:tblCellMar>
        </w:tblPrEx>
        <w:trPr>
          <w:trHeight w:val="397" w:hRule="exact"/>
        </w:trPr>
        <w:tc>
          <w:tcPr>
            <w:tcW w:w="1838" w:type="pct"/>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承租单位 </w:t>
            </w:r>
          </w:p>
        </w:tc>
        <w:tc>
          <w:tcPr>
            <w:tcW w:w="1469" w:type="pct"/>
            <w:tcBorders>
              <w:top w:val="single" w:color="auto" w:sz="8" w:space="0"/>
              <w:left w:val="nil"/>
              <w:bottom w:val="single" w:color="auto" w:sz="8" w:space="0"/>
              <w:right w:val="single" w:color="auto" w:sz="8" w:space="0"/>
            </w:tcBorders>
            <w:shd w:val="clear" w:color="auto" w:fill="D8D8D8" w:themeFill="background1" w:themeFillShade="D9"/>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租赁资产种类 </w:t>
            </w:r>
          </w:p>
        </w:tc>
        <w:tc>
          <w:tcPr>
            <w:tcW w:w="1693" w:type="pct"/>
            <w:tcBorders>
              <w:top w:val="single" w:color="auto" w:sz="8" w:space="0"/>
              <w:left w:val="nil"/>
              <w:bottom w:val="single" w:color="auto" w:sz="8" w:space="0"/>
              <w:right w:val="single" w:color="auto" w:sz="8" w:space="0"/>
            </w:tcBorders>
            <w:shd w:val="clear" w:color="auto" w:fill="D8D8D8" w:themeFill="background1" w:themeFillShade="D9"/>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本期确认的租赁费（元） </w:t>
            </w:r>
          </w:p>
        </w:tc>
      </w:tr>
      <w:tr>
        <w:tblPrEx>
          <w:tblCellMar>
            <w:top w:w="0" w:type="dxa"/>
            <w:left w:w="0" w:type="dxa"/>
            <w:bottom w:w="0" w:type="dxa"/>
            <w:right w:w="0" w:type="dxa"/>
          </w:tblCellMar>
        </w:tblPrEx>
        <w:trPr>
          <w:trHeight w:val="397" w:hRule="exact"/>
        </w:trPr>
        <w:tc>
          <w:tcPr>
            <w:tcW w:w="1838" w:type="pct"/>
            <w:tcBorders>
              <w:top w:val="nil"/>
              <w:left w:val="single" w:color="auto" w:sz="8" w:space="0"/>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三川国德 </w:t>
            </w:r>
          </w:p>
        </w:tc>
        <w:tc>
          <w:tcPr>
            <w:tcW w:w="1469" w:type="pct"/>
            <w:tcBorders>
              <w:top w:val="nil"/>
              <w:left w:val="nil"/>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办公场所 </w:t>
            </w:r>
          </w:p>
        </w:tc>
        <w:tc>
          <w:tcPr>
            <w:tcW w:w="1693" w:type="pct"/>
            <w:tcBorders>
              <w:top w:val="nil"/>
              <w:left w:val="nil"/>
              <w:bottom w:val="single" w:color="auto" w:sz="8" w:space="0"/>
              <w:right w:val="single" w:color="auto" w:sz="8" w:space="0"/>
            </w:tcBorders>
            <w:noWrap/>
            <w:vAlign w:val="bottom"/>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194,904.91</w:t>
            </w:r>
          </w:p>
        </w:tc>
      </w:tr>
      <w:tr>
        <w:tblPrEx>
          <w:tblCellMar>
            <w:top w:w="0" w:type="dxa"/>
            <w:left w:w="0" w:type="dxa"/>
            <w:bottom w:w="0" w:type="dxa"/>
            <w:right w:w="0" w:type="dxa"/>
          </w:tblCellMar>
        </w:tblPrEx>
        <w:trPr>
          <w:trHeight w:val="397" w:hRule="exact"/>
        </w:trPr>
        <w:tc>
          <w:tcPr>
            <w:tcW w:w="1838" w:type="pct"/>
            <w:tcBorders>
              <w:top w:val="nil"/>
              <w:left w:val="single" w:color="auto" w:sz="8" w:space="0"/>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江川水务 </w:t>
            </w:r>
          </w:p>
        </w:tc>
        <w:tc>
          <w:tcPr>
            <w:tcW w:w="1469" w:type="pct"/>
            <w:tcBorders>
              <w:top w:val="nil"/>
              <w:left w:val="nil"/>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收费厅 </w:t>
            </w:r>
          </w:p>
        </w:tc>
        <w:tc>
          <w:tcPr>
            <w:tcW w:w="1693" w:type="pct"/>
            <w:tcBorders>
              <w:top w:val="nil"/>
              <w:left w:val="nil"/>
              <w:bottom w:val="single" w:color="auto" w:sz="8" w:space="0"/>
              <w:right w:val="single" w:color="auto" w:sz="8" w:space="0"/>
            </w:tcBorders>
            <w:noWrap/>
            <w:vAlign w:val="bottom"/>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24,500.00</w:t>
            </w:r>
          </w:p>
        </w:tc>
      </w:tr>
      <w:tr>
        <w:tblPrEx>
          <w:tblCellMar>
            <w:top w:w="0" w:type="dxa"/>
            <w:left w:w="0" w:type="dxa"/>
            <w:bottom w:w="0" w:type="dxa"/>
            <w:right w:w="0" w:type="dxa"/>
          </w:tblCellMar>
        </w:tblPrEx>
        <w:trPr>
          <w:trHeight w:val="397" w:hRule="exact"/>
        </w:trPr>
        <w:tc>
          <w:tcPr>
            <w:tcW w:w="1838" w:type="pct"/>
            <w:tcBorders>
              <w:top w:val="nil"/>
              <w:left w:val="single" w:color="auto" w:sz="8" w:space="0"/>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景川水务 </w:t>
            </w:r>
          </w:p>
        </w:tc>
        <w:tc>
          <w:tcPr>
            <w:tcW w:w="1469" w:type="pct"/>
            <w:tcBorders>
              <w:top w:val="nil"/>
              <w:left w:val="nil"/>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收费厅 </w:t>
            </w:r>
          </w:p>
        </w:tc>
        <w:tc>
          <w:tcPr>
            <w:tcW w:w="1693" w:type="pct"/>
            <w:tcBorders>
              <w:top w:val="nil"/>
              <w:left w:val="nil"/>
              <w:bottom w:val="single" w:color="auto" w:sz="8" w:space="0"/>
              <w:right w:val="single" w:color="auto" w:sz="8" w:space="0"/>
            </w:tcBorders>
            <w:noWrap/>
            <w:vAlign w:val="bottom"/>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10,200.00</w:t>
            </w:r>
          </w:p>
        </w:tc>
      </w:tr>
      <w:tr>
        <w:tblPrEx>
          <w:tblCellMar>
            <w:top w:w="0" w:type="dxa"/>
            <w:left w:w="0" w:type="dxa"/>
            <w:bottom w:w="0" w:type="dxa"/>
            <w:right w:w="0" w:type="dxa"/>
          </w:tblCellMar>
        </w:tblPrEx>
        <w:trPr>
          <w:trHeight w:val="397" w:hRule="exact"/>
        </w:trPr>
        <w:tc>
          <w:tcPr>
            <w:tcW w:w="1838" w:type="pct"/>
            <w:tcBorders>
              <w:top w:val="nil"/>
              <w:left w:val="single" w:color="auto" w:sz="8" w:space="0"/>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469" w:type="pct"/>
            <w:tcBorders>
              <w:top w:val="nil"/>
              <w:left w:val="nil"/>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办公场所 </w:t>
            </w:r>
          </w:p>
        </w:tc>
        <w:tc>
          <w:tcPr>
            <w:tcW w:w="1693" w:type="pct"/>
            <w:tcBorders>
              <w:top w:val="nil"/>
              <w:left w:val="nil"/>
              <w:bottom w:val="single" w:color="auto" w:sz="8" w:space="0"/>
              <w:right w:val="single" w:color="auto" w:sz="8" w:space="0"/>
            </w:tcBorders>
            <w:noWrap/>
            <w:vAlign w:val="bottom"/>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137,161.80</w:t>
            </w:r>
          </w:p>
        </w:tc>
      </w:tr>
      <w:tr>
        <w:tblPrEx>
          <w:tblCellMar>
            <w:top w:w="0" w:type="dxa"/>
            <w:left w:w="0" w:type="dxa"/>
            <w:bottom w:w="0" w:type="dxa"/>
            <w:right w:w="0" w:type="dxa"/>
          </w:tblCellMar>
        </w:tblPrEx>
        <w:trPr>
          <w:trHeight w:val="397" w:hRule="exact"/>
        </w:trPr>
        <w:tc>
          <w:tcPr>
            <w:tcW w:w="1838" w:type="pct"/>
            <w:tcBorders>
              <w:top w:val="nil"/>
              <w:left w:val="single" w:color="auto" w:sz="8" w:space="0"/>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469" w:type="pct"/>
            <w:tcBorders>
              <w:top w:val="nil"/>
              <w:left w:val="nil"/>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办公场所 </w:t>
            </w:r>
          </w:p>
        </w:tc>
        <w:tc>
          <w:tcPr>
            <w:tcW w:w="1693" w:type="pct"/>
            <w:tcBorders>
              <w:top w:val="nil"/>
              <w:left w:val="nil"/>
              <w:bottom w:val="single" w:color="auto" w:sz="8" w:space="0"/>
              <w:right w:val="single" w:color="auto" w:sz="8" w:space="0"/>
            </w:tcBorders>
            <w:noWrap/>
            <w:vAlign w:val="bottom"/>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258,722.11</w:t>
            </w:r>
          </w:p>
        </w:tc>
      </w:tr>
      <w:tr>
        <w:tblPrEx>
          <w:tblCellMar>
            <w:top w:w="0" w:type="dxa"/>
            <w:left w:w="0" w:type="dxa"/>
            <w:bottom w:w="0" w:type="dxa"/>
            <w:right w:w="0" w:type="dxa"/>
          </w:tblCellMar>
        </w:tblPrEx>
        <w:trPr>
          <w:trHeight w:val="397" w:hRule="exact"/>
        </w:trPr>
        <w:tc>
          <w:tcPr>
            <w:tcW w:w="1838" w:type="pct"/>
            <w:tcBorders>
              <w:top w:val="nil"/>
              <w:left w:val="single" w:color="auto" w:sz="8" w:space="0"/>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469" w:type="pct"/>
            <w:tcBorders>
              <w:top w:val="nil"/>
              <w:left w:val="nil"/>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办公场所 </w:t>
            </w:r>
          </w:p>
        </w:tc>
        <w:tc>
          <w:tcPr>
            <w:tcW w:w="1693" w:type="pct"/>
            <w:tcBorders>
              <w:top w:val="nil"/>
              <w:left w:val="nil"/>
              <w:bottom w:val="single" w:color="auto" w:sz="8" w:space="0"/>
              <w:right w:val="single" w:color="auto" w:sz="8" w:space="0"/>
            </w:tcBorders>
            <w:noWrap/>
            <w:vAlign w:val="bottom"/>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42,000.00</w:t>
            </w:r>
          </w:p>
        </w:tc>
      </w:tr>
      <w:tr>
        <w:tblPrEx>
          <w:tblCellMar>
            <w:top w:w="0" w:type="dxa"/>
            <w:left w:w="0" w:type="dxa"/>
            <w:bottom w:w="0" w:type="dxa"/>
            <w:right w:w="0" w:type="dxa"/>
          </w:tblCellMar>
        </w:tblPrEx>
        <w:trPr>
          <w:trHeight w:val="397" w:hRule="exact"/>
        </w:trPr>
        <w:tc>
          <w:tcPr>
            <w:tcW w:w="1838" w:type="pct"/>
            <w:tcBorders>
              <w:top w:val="nil"/>
              <w:left w:val="single" w:color="auto" w:sz="8" w:space="0"/>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469" w:type="pct"/>
            <w:tcBorders>
              <w:top w:val="nil"/>
              <w:left w:val="nil"/>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办公场所 </w:t>
            </w:r>
          </w:p>
        </w:tc>
        <w:tc>
          <w:tcPr>
            <w:tcW w:w="1693" w:type="pct"/>
            <w:tcBorders>
              <w:top w:val="nil"/>
              <w:left w:val="nil"/>
              <w:bottom w:val="single" w:color="auto" w:sz="8" w:space="0"/>
              <w:right w:val="single" w:color="auto" w:sz="8" w:space="0"/>
            </w:tcBorders>
            <w:noWrap/>
            <w:vAlign w:val="bottom"/>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34,800.00</w:t>
            </w:r>
          </w:p>
        </w:tc>
      </w:tr>
      <w:tr>
        <w:tblPrEx>
          <w:tblCellMar>
            <w:top w:w="0" w:type="dxa"/>
            <w:left w:w="0" w:type="dxa"/>
            <w:bottom w:w="0" w:type="dxa"/>
            <w:right w:w="0" w:type="dxa"/>
          </w:tblCellMar>
        </w:tblPrEx>
        <w:trPr>
          <w:trHeight w:val="397" w:hRule="exact"/>
        </w:trPr>
        <w:tc>
          <w:tcPr>
            <w:tcW w:w="1838" w:type="pct"/>
            <w:tcBorders>
              <w:top w:val="nil"/>
              <w:left w:val="single" w:color="auto" w:sz="8" w:space="0"/>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469" w:type="pct"/>
            <w:tcBorders>
              <w:top w:val="nil"/>
              <w:left w:val="nil"/>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办公场所 </w:t>
            </w:r>
          </w:p>
        </w:tc>
        <w:tc>
          <w:tcPr>
            <w:tcW w:w="1693" w:type="pct"/>
            <w:tcBorders>
              <w:top w:val="nil"/>
              <w:left w:val="nil"/>
              <w:bottom w:val="single" w:color="auto" w:sz="8" w:space="0"/>
              <w:right w:val="single" w:color="auto" w:sz="8" w:space="0"/>
            </w:tcBorders>
            <w:noWrap/>
            <w:vAlign w:val="bottom"/>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36,000.00</w:t>
            </w:r>
          </w:p>
        </w:tc>
      </w:tr>
      <w:tr>
        <w:tblPrEx>
          <w:tblCellMar>
            <w:top w:w="0" w:type="dxa"/>
            <w:left w:w="0" w:type="dxa"/>
            <w:bottom w:w="0" w:type="dxa"/>
            <w:right w:w="0" w:type="dxa"/>
          </w:tblCellMar>
        </w:tblPrEx>
        <w:trPr>
          <w:trHeight w:val="397" w:hRule="exact"/>
        </w:trPr>
        <w:tc>
          <w:tcPr>
            <w:tcW w:w="1838" w:type="pct"/>
            <w:tcBorders>
              <w:top w:val="nil"/>
              <w:left w:val="single" w:color="auto" w:sz="8" w:space="0"/>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469" w:type="pct"/>
            <w:tcBorders>
              <w:top w:val="nil"/>
              <w:left w:val="nil"/>
              <w:bottom w:val="single" w:color="auto" w:sz="8" w:space="0"/>
              <w:right w:val="single" w:color="auto" w:sz="8" w:space="0"/>
            </w:tcBorders>
            <w:noWrap/>
            <w:vAlign w:val="bottom"/>
          </w:tcPr>
          <w:p>
            <w:pPr>
              <w:rPr>
                <w:rFonts w:ascii="宋体" w:hAnsi="宋体" w:eastAsia="宋体" w:cs="宋体"/>
                <w:color w:val="000000"/>
                <w:sz w:val="18"/>
                <w:szCs w:val="18"/>
              </w:rPr>
            </w:pPr>
            <w:r>
              <w:rPr>
                <w:rFonts w:hint="eastAsia" w:ascii="宋体" w:hAnsi="宋体" w:eastAsia="宋体"/>
                <w:color w:val="000000"/>
                <w:sz w:val="18"/>
                <w:szCs w:val="18"/>
              </w:rPr>
              <w:t> 宿舍 </w:t>
            </w:r>
          </w:p>
        </w:tc>
        <w:tc>
          <w:tcPr>
            <w:tcW w:w="1693" w:type="pct"/>
            <w:tcBorders>
              <w:top w:val="nil"/>
              <w:left w:val="nil"/>
              <w:bottom w:val="single" w:color="auto" w:sz="8" w:space="0"/>
              <w:right w:val="single" w:color="auto" w:sz="8" w:space="0"/>
            </w:tcBorders>
            <w:noWrap/>
            <w:vAlign w:val="bottom"/>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18,900.00</w:t>
            </w:r>
          </w:p>
        </w:tc>
      </w:tr>
      <w:tr>
        <w:tblPrEx>
          <w:tblCellMar>
            <w:top w:w="0" w:type="dxa"/>
            <w:left w:w="0" w:type="dxa"/>
            <w:bottom w:w="0" w:type="dxa"/>
            <w:right w:w="0" w:type="dxa"/>
          </w:tblCellMar>
        </w:tblPrEx>
        <w:trPr>
          <w:trHeight w:val="397" w:hRule="exact"/>
        </w:trPr>
        <w:tc>
          <w:tcPr>
            <w:tcW w:w="1838" w:type="pct"/>
            <w:tcBorders>
              <w:top w:val="nil"/>
              <w:left w:val="single" w:color="auto" w:sz="8" w:space="0"/>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469" w:type="pct"/>
            <w:tcBorders>
              <w:top w:val="nil"/>
              <w:left w:val="nil"/>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办公场所 </w:t>
            </w:r>
          </w:p>
        </w:tc>
        <w:tc>
          <w:tcPr>
            <w:tcW w:w="1693" w:type="pct"/>
            <w:tcBorders>
              <w:top w:val="nil"/>
              <w:left w:val="nil"/>
              <w:bottom w:val="single" w:color="auto" w:sz="8" w:space="0"/>
              <w:right w:val="single" w:color="auto" w:sz="8" w:space="0"/>
            </w:tcBorders>
            <w:noWrap/>
            <w:vAlign w:val="bottom"/>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66,811.90</w:t>
            </w:r>
          </w:p>
        </w:tc>
      </w:tr>
      <w:tr>
        <w:tblPrEx>
          <w:tblCellMar>
            <w:top w:w="0" w:type="dxa"/>
            <w:left w:w="0" w:type="dxa"/>
            <w:bottom w:w="0" w:type="dxa"/>
            <w:right w:w="0" w:type="dxa"/>
          </w:tblCellMar>
        </w:tblPrEx>
        <w:trPr>
          <w:trHeight w:val="397" w:hRule="exact"/>
        </w:trPr>
        <w:tc>
          <w:tcPr>
            <w:tcW w:w="1838" w:type="pct"/>
            <w:tcBorders>
              <w:top w:val="nil"/>
              <w:left w:val="single" w:color="auto" w:sz="8" w:space="0"/>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三川智慧 </w:t>
            </w:r>
          </w:p>
        </w:tc>
        <w:tc>
          <w:tcPr>
            <w:tcW w:w="1469" w:type="pct"/>
            <w:tcBorders>
              <w:top w:val="nil"/>
              <w:left w:val="nil"/>
              <w:bottom w:val="single" w:color="auto" w:sz="8" w:space="0"/>
              <w:right w:val="single" w:color="auto" w:sz="8" w:space="0"/>
            </w:tcBorders>
            <w:noWrap/>
            <w:vAlign w:val="bottom"/>
          </w:tcPr>
          <w:p>
            <w:pPr>
              <w:rPr>
                <w:rFonts w:ascii="宋体" w:hAnsi="宋体" w:eastAsia="宋体" w:cs="宋体"/>
                <w:color w:val="000000"/>
                <w:sz w:val="18"/>
                <w:szCs w:val="18"/>
              </w:rPr>
            </w:pPr>
            <w:r>
              <w:rPr>
                <w:rFonts w:hint="eastAsia" w:ascii="宋体" w:hAnsi="宋体" w:eastAsia="宋体"/>
                <w:color w:val="000000"/>
                <w:sz w:val="18"/>
                <w:szCs w:val="18"/>
              </w:rPr>
              <w:t> 宿舍 </w:t>
            </w:r>
          </w:p>
        </w:tc>
        <w:tc>
          <w:tcPr>
            <w:tcW w:w="1693" w:type="pct"/>
            <w:tcBorders>
              <w:top w:val="nil"/>
              <w:left w:val="nil"/>
              <w:bottom w:val="single" w:color="auto" w:sz="8" w:space="0"/>
              <w:right w:val="single" w:color="auto" w:sz="8" w:space="0"/>
            </w:tcBorders>
            <w:noWrap/>
            <w:vAlign w:val="bottom"/>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8,940.00</w:t>
            </w:r>
          </w:p>
        </w:tc>
      </w:tr>
      <w:tr>
        <w:tblPrEx>
          <w:tblCellMar>
            <w:top w:w="0" w:type="dxa"/>
            <w:left w:w="0" w:type="dxa"/>
            <w:bottom w:w="0" w:type="dxa"/>
            <w:right w:w="0" w:type="dxa"/>
          </w:tblCellMar>
        </w:tblPrEx>
        <w:trPr>
          <w:trHeight w:val="397" w:hRule="exact"/>
        </w:trPr>
        <w:tc>
          <w:tcPr>
            <w:tcW w:w="1838" w:type="pct"/>
            <w:tcBorders>
              <w:top w:val="nil"/>
              <w:left w:val="single" w:color="auto" w:sz="8" w:space="0"/>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北京三川 </w:t>
            </w:r>
          </w:p>
        </w:tc>
        <w:tc>
          <w:tcPr>
            <w:tcW w:w="1469" w:type="pct"/>
            <w:tcBorders>
              <w:top w:val="nil"/>
              <w:left w:val="nil"/>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办公场所 </w:t>
            </w:r>
          </w:p>
        </w:tc>
        <w:tc>
          <w:tcPr>
            <w:tcW w:w="1693" w:type="pct"/>
            <w:tcBorders>
              <w:top w:val="nil"/>
              <w:left w:val="nil"/>
              <w:bottom w:val="single" w:color="auto" w:sz="8" w:space="0"/>
              <w:right w:val="single" w:color="auto" w:sz="8" w:space="0"/>
            </w:tcBorders>
            <w:noWrap/>
            <w:vAlign w:val="bottom"/>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121,647.14</w:t>
            </w:r>
          </w:p>
        </w:tc>
      </w:tr>
      <w:tr>
        <w:tblPrEx>
          <w:tblCellMar>
            <w:top w:w="0" w:type="dxa"/>
            <w:left w:w="0" w:type="dxa"/>
            <w:bottom w:w="0" w:type="dxa"/>
            <w:right w:w="0" w:type="dxa"/>
          </w:tblCellMar>
        </w:tblPrEx>
        <w:trPr>
          <w:trHeight w:val="397" w:hRule="exact"/>
        </w:trPr>
        <w:tc>
          <w:tcPr>
            <w:tcW w:w="1838" w:type="pct"/>
            <w:tcBorders>
              <w:top w:val="nil"/>
              <w:left w:val="single" w:color="auto" w:sz="8" w:space="0"/>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广西三川 </w:t>
            </w:r>
          </w:p>
        </w:tc>
        <w:tc>
          <w:tcPr>
            <w:tcW w:w="1469" w:type="pct"/>
            <w:tcBorders>
              <w:top w:val="nil"/>
              <w:left w:val="nil"/>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办公场所 </w:t>
            </w:r>
          </w:p>
        </w:tc>
        <w:tc>
          <w:tcPr>
            <w:tcW w:w="1693" w:type="pct"/>
            <w:tcBorders>
              <w:top w:val="nil"/>
              <w:left w:val="nil"/>
              <w:bottom w:val="single" w:color="auto" w:sz="8" w:space="0"/>
              <w:right w:val="single" w:color="auto" w:sz="8" w:space="0"/>
            </w:tcBorders>
            <w:noWrap/>
            <w:vAlign w:val="bottom"/>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57,362.40</w:t>
            </w:r>
          </w:p>
        </w:tc>
      </w:tr>
      <w:tr>
        <w:tblPrEx>
          <w:tblCellMar>
            <w:top w:w="0" w:type="dxa"/>
            <w:left w:w="0" w:type="dxa"/>
            <w:bottom w:w="0" w:type="dxa"/>
            <w:right w:w="0" w:type="dxa"/>
          </w:tblCellMar>
        </w:tblPrEx>
        <w:trPr>
          <w:trHeight w:val="397" w:hRule="exact"/>
        </w:trPr>
        <w:tc>
          <w:tcPr>
            <w:tcW w:w="1838" w:type="pct"/>
            <w:tcBorders>
              <w:top w:val="nil"/>
              <w:left w:val="single" w:color="auto" w:sz="8" w:space="0"/>
              <w:bottom w:val="single" w:color="auto" w:sz="8" w:space="0"/>
              <w:right w:val="single" w:color="auto" w:sz="8" w:space="0"/>
            </w:tcBorders>
            <w:noWrap/>
            <w:vAlign w:val="bottom"/>
          </w:tcPr>
          <w:p>
            <w:pPr>
              <w:rPr>
                <w:rFonts w:ascii="宋体" w:hAnsi="宋体" w:eastAsia="宋体" w:cs="宋体"/>
                <w:color w:val="000000"/>
                <w:sz w:val="18"/>
                <w:szCs w:val="18"/>
              </w:rPr>
            </w:pPr>
            <w:r>
              <w:rPr>
                <w:rFonts w:hint="eastAsia" w:ascii="宋体" w:hAnsi="宋体" w:eastAsia="宋体"/>
                <w:color w:val="000000"/>
                <w:sz w:val="18"/>
                <w:szCs w:val="18"/>
              </w:rPr>
              <w:t> 合计 </w:t>
            </w:r>
          </w:p>
        </w:tc>
        <w:tc>
          <w:tcPr>
            <w:tcW w:w="1469" w:type="pct"/>
            <w:tcBorders>
              <w:top w:val="nil"/>
              <w:left w:val="nil"/>
              <w:bottom w:val="single" w:color="auto" w:sz="8" w:space="0"/>
              <w:right w:val="single" w:color="auto" w:sz="8" w:space="0"/>
            </w:tcBorders>
            <w:noWrap/>
            <w:vAlign w:val="bottom"/>
          </w:tcPr>
          <w:p>
            <w:pPr>
              <w:rPr>
                <w:rFonts w:ascii="宋体" w:hAnsi="宋体" w:eastAsia="宋体" w:cs="Times New Roman"/>
                <w:color w:val="000000"/>
                <w:sz w:val="18"/>
                <w:szCs w:val="18"/>
              </w:rPr>
            </w:pPr>
            <w:r>
              <w:rPr>
                <w:rFonts w:ascii="宋体" w:hAnsi="宋体" w:eastAsia="宋体" w:cs="Times New Roman"/>
                <w:color w:val="000000"/>
                <w:sz w:val="18"/>
                <w:szCs w:val="18"/>
              </w:rPr>
              <w:t>　</w:t>
            </w:r>
          </w:p>
        </w:tc>
        <w:tc>
          <w:tcPr>
            <w:tcW w:w="1693" w:type="pct"/>
            <w:tcBorders>
              <w:top w:val="nil"/>
              <w:left w:val="nil"/>
              <w:bottom w:val="single" w:color="auto" w:sz="8" w:space="0"/>
              <w:right w:val="single" w:color="auto" w:sz="8" w:space="0"/>
            </w:tcBorders>
            <w:noWrap/>
            <w:vAlign w:val="bottom"/>
          </w:tcPr>
          <w:p>
            <w:pPr>
              <w:jc w:val="right"/>
              <w:rPr>
                <w:rFonts w:ascii="宋体" w:hAnsi="宋体" w:eastAsia="宋体" w:cs="Times New Roman"/>
                <w:color w:val="000000"/>
                <w:sz w:val="18"/>
                <w:szCs w:val="18"/>
              </w:rPr>
            </w:pPr>
            <w:r>
              <w:rPr>
                <w:rFonts w:ascii="宋体" w:hAnsi="宋体" w:eastAsia="宋体" w:cs="Times New Roman"/>
                <w:color w:val="000000"/>
                <w:sz w:val="18"/>
                <w:szCs w:val="18"/>
              </w:rPr>
              <w:t>1,011,950.26</w:t>
            </w:r>
          </w:p>
        </w:tc>
      </w:tr>
    </w:tbl>
    <w:p>
      <w:pPr>
        <w:pStyle w:val="11"/>
        <w:rPr>
          <w:sz w:val="18"/>
          <w:szCs w:val="18"/>
        </w:rPr>
      </w:pPr>
    </w:p>
    <w:p>
      <w:pPr>
        <w:pStyle w:val="11"/>
        <w:rPr>
          <w:sz w:val="18"/>
          <w:szCs w:val="18"/>
        </w:rPr>
      </w:pPr>
      <w:r>
        <w:rPr>
          <w:sz w:val="18"/>
          <w:szCs w:val="18"/>
        </w:rPr>
        <w:t>为公司带来的损益达到公司报告期利润总额10%以上的项目</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公司报告期不存在为公司带来的损益达到公司报告期利润总额10%以上的租赁项目。</w:t>
      </w:r>
    </w:p>
    <w:p>
      <w:pPr>
        <w:pStyle w:val="4"/>
        <w:spacing w:line="280" w:lineRule="exact"/>
        <w:jc w:val="left"/>
        <w:rPr>
          <w:rFonts w:ascii="宋体" w:hAnsi="宋体" w:cs="宋体"/>
          <w:b/>
          <w:bCs/>
        </w:rPr>
      </w:pPr>
      <w:bookmarkStart w:id="120" w:name="_Toc989007"/>
      <w:r>
        <w:rPr>
          <w:rFonts w:ascii="宋体" w:hAnsi="宋体" w:cs="宋体"/>
          <w:b/>
          <w:bCs/>
        </w:rPr>
        <w:t>2、重大担保</w:t>
      </w:r>
      <w:bookmarkEnd w:id="120"/>
    </w:p>
    <w:p>
      <w:pPr>
        <w:spacing w:before="40" w:after="4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单位：万元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91"/>
        <w:gridCol w:w="961"/>
        <w:gridCol w:w="794"/>
        <w:gridCol w:w="870"/>
        <w:gridCol w:w="840"/>
        <w:gridCol w:w="780"/>
        <w:gridCol w:w="1020"/>
        <w:gridCol w:w="1485"/>
        <w:gridCol w:w="630"/>
        <w:gridCol w:w="645"/>
        <w:gridCol w:w="82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75" w:hRule="atLeast"/>
        </w:trPr>
        <w:tc>
          <w:tcPr>
            <w:tcW w:w="9639" w:type="dxa"/>
            <w:gridSpan w:val="11"/>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公司及其子公司对外担保情况（不包括对子公司的担保）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9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担保对象名称</w:t>
            </w:r>
          </w:p>
        </w:tc>
        <w:tc>
          <w:tcPr>
            <w:tcW w:w="9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担保额度相关公告披露日期</w:t>
            </w:r>
          </w:p>
        </w:tc>
        <w:tc>
          <w:tcPr>
            <w:tcW w:w="7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担保额度</w:t>
            </w:r>
          </w:p>
        </w:tc>
        <w:tc>
          <w:tcPr>
            <w:tcW w:w="87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实际发生日期</w:t>
            </w:r>
          </w:p>
        </w:tc>
        <w:tc>
          <w:tcPr>
            <w:tcW w:w="84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实际担保金额</w:t>
            </w:r>
          </w:p>
        </w:tc>
        <w:tc>
          <w:tcPr>
            <w:tcW w:w="78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担保类型</w:t>
            </w:r>
          </w:p>
        </w:tc>
        <w:tc>
          <w:tcPr>
            <w:tcW w:w="10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担保物（如有）</w:t>
            </w:r>
          </w:p>
        </w:tc>
        <w:tc>
          <w:tcPr>
            <w:tcW w:w="14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反担保情况（如有）</w:t>
            </w:r>
          </w:p>
        </w:tc>
        <w:tc>
          <w:tcPr>
            <w:tcW w:w="63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担保期</w:t>
            </w:r>
          </w:p>
        </w:tc>
        <w:tc>
          <w:tcPr>
            <w:tcW w:w="64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是否履行完毕</w:t>
            </w:r>
          </w:p>
        </w:tc>
        <w:tc>
          <w:tcPr>
            <w:tcW w:w="82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是否为关联方担保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79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9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79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7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84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0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48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63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64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c>
          <w:tcPr>
            <w:tcW w:w="82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1"/>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公司对子公司的担保情况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9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担保对象名称</w:t>
            </w:r>
          </w:p>
        </w:tc>
        <w:tc>
          <w:tcPr>
            <w:tcW w:w="9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担保额度相关公告披露日期</w:t>
            </w:r>
          </w:p>
        </w:tc>
        <w:tc>
          <w:tcPr>
            <w:tcW w:w="7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担保额度</w:t>
            </w:r>
          </w:p>
        </w:tc>
        <w:tc>
          <w:tcPr>
            <w:tcW w:w="87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实际发生日期</w:t>
            </w:r>
          </w:p>
        </w:tc>
        <w:tc>
          <w:tcPr>
            <w:tcW w:w="84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实际担保金额</w:t>
            </w:r>
          </w:p>
        </w:tc>
        <w:tc>
          <w:tcPr>
            <w:tcW w:w="78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担保类型</w:t>
            </w:r>
          </w:p>
        </w:tc>
        <w:tc>
          <w:tcPr>
            <w:tcW w:w="10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担保物（如有）</w:t>
            </w:r>
          </w:p>
        </w:tc>
        <w:tc>
          <w:tcPr>
            <w:tcW w:w="14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反担保情况（如有）</w:t>
            </w:r>
          </w:p>
        </w:tc>
        <w:tc>
          <w:tcPr>
            <w:tcW w:w="63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担保期</w:t>
            </w:r>
          </w:p>
        </w:tc>
        <w:tc>
          <w:tcPr>
            <w:tcW w:w="64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是否履行完毕</w:t>
            </w:r>
          </w:p>
        </w:tc>
        <w:tc>
          <w:tcPr>
            <w:tcW w:w="82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是否为关联方担保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9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w:t>
            </w:r>
          </w:p>
        </w:tc>
        <w:tc>
          <w:tcPr>
            <w:tcW w:w="9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2022年11月12日</w:t>
            </w:r>
          </w:p>
        </w:tc>
        <w:tc>
          <w:tcPr>
            <w:tcW w:w="79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24,000</w:t>
            </w:r>
          </w:p>
        </w:tc>
        <w:tc>
          <w:tcPr>
            <w:tcW w:w="87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2022年12月19日</w:t>
            </w:r>
          </w:p>
        </w:tc>
        <w:tc>
          <w:tcPr>
            <w:tcW w:w="84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9,900</w:t>
            </w:r>
          </w:p>
        </w:tc>
        <w:tc>
          <w:tcPr>
            <w:tcW w:w="78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连带责任保证</w:t>
            </w:r>
          </w:p>
        </w:tc>
        <w:tc>
          <w:tcPr>
            <w:tcW w:w="10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无</w:t>
            </w:r>
          </w:p>
        </w:tc>
        <w:tc>
          <w:tcPr>
            <w:tcW w:w="148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天和永磁现有自然人股东周钢华、陈久昌、舒金澄均与公司签订《反担保合同》，约定分别按照10.78%、12.3%、9.92%的比例向公司提供反担保。</w:t>
            </w:r>
          </w:p>
        </w:tc>
        <w:tc>
          <w:tcPr>
            <w:tcW w:w="63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自债务履行期限届满之日起3年</w:t>
            </w:r>
          </w:p>
        </w:tc>
        <w:tc>
          <w:tcPr>
            <w:tcW w:w="64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c>
          <w:tcPr>
            <w:tcW w:w="82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报告期内审批对子公司担保额度合计（B1）</w:t>
            </w:r>
          </w:p>
        </w:tc>
        <w:tc>
          <w:tcPr>
            <w:tcW w:w="1664"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24,000</w:t>
            </w:r>
          </w:p>
        </w:tc>
        <w:tc>
          <w:tcPr>
            <w:tcW w:w="1620"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报告期内对子公司担保实际发生额合计（B2）</w:t>
            </w:r>
          </w:p>
        </w:tc>
        <w:tc>
          <w:tcPr>
            <w:tcW w:w="4603" w:type="dxa"/>
            <w:gridSpan w:val="5"/>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报告期末已审批的对子公司担保额度合计（B3）</w:t>
            </w:r>
          </w:p>
        </w:tc>
        <w:tc>
          <w:tcPr>
            <w:tcW w:w="1664"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24,000</w:t>
            </w:r>
          </w:p>
        </w:tc>
        <w:tc>
          <w:tcPr>
            <w:tcW w:w="1620"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报告期末对子公司实际担保余额合计（B4）</w:t>
            </w:r>
          </w:p>
        </w:tc>
        <w:tc>
          <w:tcPr>
            <w:tcW w:w="4603" w:type="dxa"/>
            <w:gridSpan w:val="5"/>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1"/>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子公司对子公司的担保情况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9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担保对象名称</w:t>
            </w:r>
          </w:p>
        </w:tc>
        <w:tc>
          <w:tcPr>
            <w:tcW w:w="9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担保额度相关公告披露日期</w:t>
            </w:r>
          </w:p>
        </w:tc>
        <w:tc>
          <w:tcPr>
            <w:tcW w:w="7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担保额度</w:t>
            </w:r>
          </w:p>
        </w:tc>
        <w:tc>
          <w:tcPr>
            <w:tcW w:w="87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实际发生日期</w:t>
            </w:r>
          </w:p>
        </w:tc>
        <w:tc>
          <w:tcPr>
            <w:tcW w:w="84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实际担保金额</w:t>
            </w:r>
          </w:p>
        </w:tc>
        <w:tc>
          <w:tcPr>
            <w:tcW w:w="78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担保类型</w:t>
            </w:r>
          </w:p>
        </w:tc>
        <w:tc>
          <w:tcPr>
            <w:tcW w:w="10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担保物（如有）</w:t>
            </w:r>
          </w:p>
        </w:tc>
        <w:tc>
          <w:tcPr>
            <w:tcW w:w="14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反担保情况（如有）</w:t>
            </w:r>
          </w:p>
        </w:tc>
        <w:tc>
          <w:tcPr>
            <w:tcW w:w="63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担保期</w:t>
            </w:r>
          </w:p>
        </w:tc>
        <w:tc>
          <w:tcPr>
            <w:tcW w:w="64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是否履行完毕</w:t>
            </w:r>
          </w:p>
        </w:tc>
        <w:tc>
          <w:tcPr>
            <w:tcW w:w="82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是否为关联方担保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1"/>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公司担保总额（即前三大项的合计）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报告期内审批担保额度合计（A1+B1+C1）</w:t>
            </w:r>
          </w:p>
        </w:tc>
        <w:tc>
          <w:tcPr>
            <w:tcW w:w="1664"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24,000</w:t>
            </w:r>
          </w:p>
        </w:tc>
        <w:tc>
          <w:tcPr>
            <w:tcW w:w="1620"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报告期内担保实际发生额合计（A2+B2+C2）</w:t>
            </w:r>
          </w:p>
        </w:tc>
        <w:tc>
          <w:tcPr>
            <w:tcW w:w="4603" w:type="dxa"/>
            <w:gridSpan w:val="5"/>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报告期末已审批的担保额度合计（A3+B3+C3）</w:t>
            </w:r>
          </w:p>
        </w:tc>
        <w:tc>
          <w:tcPr>
            <w:tcW w:w="1664"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24,000</w:t>
            </w:r>
          </w:p>
        </w:tc>
        <w:tc>
          <w:tcPr>
            <w:tcW w:w="1620"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报告期末实际担保余额合计（A4+B4+C4）</w:t>
            </w:r>
          </w:p>
        </w:tc>
        <w:tc>
          <w:tcPr>
            <w:tcW w:w="4603" w:type="dxa"/>
            <w:gridSpan w:val="5"/>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416"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实际担保总额（即A4+B4+C4）占公司净资产的比例</w:t>
            </w:r>
          </w:p>
        </w:tc>
        <w:tc>
          <w:tcPr>
            <w:tcW w:w="6223" w:type="dxa"/>
            <w:gridSpan w:val="7"/>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1"/>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其中：</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采用复合方式担保的具体情况说明</w:t>
      </w:r>
    </w:p>
    <w:p>
      <w:pPr>
        <w:pStyle w:val="4"/>
        <w:spacing w:line="280" w:lineRule="exact"/>
        <w:jc w:val="left"/>
        <w:rPr>
          <w:rFonts w:ascii="宋体" w:hAnsi="宋体" w:cs="宋体"/>
          <w:b/>
          <w:bCs/>
        </w:rPr>
      </w:pPr>
      <w:bookmarkStart w:id="121" w:name="_Toc989008"/>
      <w:r>
        <w:rPr>
          <w:rFonts w:ascii="宋体" w:hAnsi="宋体" w:cs="宋体"/>
          <w:b/>
          <w:bCs/>
        </w:rPr>
        <w:t>3、委托他人进行现金资产管理情况</w:t>
      </w:r>
      <w:bookmarkEnd w:id="121"/>
    </w:p>
    <w:p>
      <w:pPr>
        <w:keepNext/>
        <w:keepLines/>
        <w:spacing w:before="300" w:after="300" w:line="280" w:lineRule="exact"/>
        <w:outlineLvl w:val="3"/>
        <w:rPr>
          <w:rFonts w:ascii="宋体" w:hAnsi="宋体" w:eastAsia="宋体" w:cs="宋体"/>
          <w:b/>
          <w:bCs/>
          <w:sz w:val="18"/>
          <w:szCs w:val="18"/>
        </w:rPr>
      </w:pPr>
      <w:bookmarkStart w:id="122" w:name="_Toc989009"/>
      <w:r>
        <w:rPr>
          <w:rFonts w:ascii="宋体" w:hAnsi="宋体" w:eastAsia="宋体" w:cs="宋体"/>
          <w:b/>
          <w:bCs/>
          <w:sz w:val="18"/>
          <w:szCs w:val="18"/>
        </w:rPr>
        <w:t>（1） 委托理财情况</w:t>
      </w:r>
      <w:bookmarkEnd w:id="122"/>
    </w:p>
    <w:p>
      <w:pPr>
        <w:spacing w:before="40" w:after="40" w:line="240" w:lineRule="exact"/>
        <w:rPr>
          <w:rFonts w:ascii="宋体" w:hAnsi="宋体" w:eastAsia="宋体" w:cs="宋体"/>
          <w:sz w:val="18"/>
          <w:szCs w:val="18"/>
        </w:rPr>
      </w:pPr>
      <w:r>
        <w:rPr>
          <w:szCs w:val="24"/>
        </w:rPr>
        <w:t xml:space="preserve">√ </w:t>
      </w:r>
      <w:r>
        <w:rPr>
          <w:rFonts w:ascii="宋体" w:hAnsi="宋体" w:eastAsia="宋体" w:cs="宋体"/>
          <w:sz w:val="18"/>
          <w:szCs w:val="18"/>
        </w:rPr>
        <w:t>适用 □不适用</w:t>
      </w:r>
    </w:p>
    <w:p>
      <w:pPr>
        <w:spacing w:before="100" w:after="100" w:line="240" w:lineRule="exact"/>
        <w:rPr>
          <w:rFonts w:ascii="宋体" w:hAnsi="宋体" w:eastAsia="宋体" w:cs="宋体"/>
          <w:sz w:val="18"/>
          <w:szCs w:val="18"/>
        </w:rPr>
      </w:pPr>
      <w:r>
        <w:rPr>
          <w:rFonts w:ascii="宋体" w:hAnsi="宋体" w:eastAsia="宋体" w:cs="宋体"/>
          <w:sz w:val="18"/>
          <w:szCs w:val="18"/>
        </w:rPr>
        <w:t>报告期内委托理财概况</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单位：万元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7"/>
        <w:gridCol w:w="1608"/>
        <w:gridCol w:w="1606"/>
        <w:gridCol w:w="1606"/>
        <w:gridCol w:w="1606"/>
        <w:gridCol w:w="160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具体类型</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委托理财的资金来源</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委托理财发生额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未到期余额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逾期未收回的金额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逾期未收回理财已计提减值金额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银行理财产品</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自有资金</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17,000</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券商理财产品</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自有资金</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8,000</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25,000</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单项金额重大或安全性较低、流动性较差的高风险委托理财具体情况</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委托理财出现预期无法收回本金或存在其他可能导致减值的情形</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 xml:space="preserve">√ </w:t>
      </w:r>
      <w:r>
        <w:rPr>
          <w:rFonts w:ascii="宋体" w:hAnsi="宋体" w:eastAsia="宋体" w:cs="宋体"/>
          <w:sz w:val="18"/>
          <w:szCs w:val="18"/>
        </w:rPr>
        <w:t>不适用</w:t>
      </w:r>
    </w:p>
    <w:p>
      <w:pPr>
        <w:keepNext/>
        <w:keepLines/>
        <w:spacing w:before="300" w:after="300" w:line="280" w:lineRule="exact"/>
        <w:outlineLvl w:val="3"/>
        <w:rPr>
          <w:rFonts w:ascii="宋体" w:hAnsi="宋体" w:eastAsia="宋体" w:cs="宋体"/>
          <w:b/>
          <w:bCs/>
          <w:sz w:val="18"/>
          <w:szCs w:val="18"/>
        </w:rPr>
      </w:pPr>
      <w:bookmarkStart w:id="123" w:name="_Toc989010"/>
      <w:r>
        <w:rPr>
          <w:rFonts w:ascii="宋体" w:hAnsi="宋体" w:eastAsia="宋体" w:cs="宋体"/>
          <w:b/>
          <w:bCs/>
          <w:sz w:val="18"/>
          <w:szCs w:val="18"/>
        </w:rPr>
        <w:t>（2） 委托贷款情况</w:t>
      </w:r>
      <w:bookmarkEnd w:id="123"/>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公司报告期不存在委托贷款。</w:t>
      </w:r>
    </w:p>
    <w:p>
      <w:pPr>
        <w:pStyle w:val="4"/>
        <w:spacing w:line="280" w:lineRule="exact"/>
        <w:jc w:val="left"/>
        <w:rPr>
          <w:rFonts w:ascii="宋体" w:hAnsi="宋体" w:cs="宋体"/>
          <w:b/>
          <w:bCs/>
        </w:rPr>
      </w:pPr>
      <w:bookmarkStart w:id="124" w:name="_Toc989011"/>
      <w:r>
        <w:rPr>
          <w:rFonts w:ascii="宋体" w:hAnsi="宋体" w:cs="宋体"/>
          <w:b/>
          <w:bCs/>
        </w:rPr>
        <w:t>4、其他重大合同</w:t>
      </w:r>
      <w:bookmarkEnd w:id="124"/>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公司报告期不存在其他重大合同。</w:t>
      </w:r>
    </w:p>
    <w:p>
      <w:pPr>
        <w:pStyle w:val="3"/>
        <w:spacing w:before="300" w:after="300" w:line="320" w:lineRule="exact"/>
        <w:rPr>
          <w:rFonts w:ascii="宋体" w:hAnsi="宋体" w:eastAsia="宋体" w:cs="宋体"/>
          <w:b/>
          <w:bCs/>
          <w:sz w:val="24"/>
          <w:szCs w:val="24"/>
        </w:rPr>
      </w:pPr>
      <w:bookmarkStart w:id="125" w:name="_Toc989012"/>
      <w:r>
        <w:rPr>
          <w:rFonts w:ascii="宋体" w:hAnsi="宋体" w:eastAsia="宋体" w:cs="宋体"/>
          <w:b/>
          <w:bCs/>
          <w:sz w:val="24"/>
          <w:szCs w:val="24"/>
        </w:rPr>
        <w:t>十六、其他重大事项的说明</w:t>
      </w:r>
      <w:bookmarkEnd w:id="125"/>
    </w:p>
    <w:p>
      <w:pPr>
        <w:spacing w:before="100" w:after="100" w:line="240" w:lineRule="exact"/>
        <w:rPr>
          <w:rFonts w:ascii="宋体" w:hAnsi="宋体" w:eastAsia="宋体" w:cs="宋体"/>
          <w:sz w:val="18"/>
          <w:szCs w:val="18"/>
        </w:rPr>
      </w:pPr>
      <w:r>
        <w:rPr>
          <w:szCs w:val="24"/>
        </w:rPr>
        <w:t>√</w:t>
      </w:r>
      <w:r>
        <w:rPr>
          <w:rFonts w:ascii="宋体" w:hAnsi="宋体" w:eastAsia="宋体" w:cs="宋体"/>
          <w:sz w:val="18"/>
          <w:szCs w:val="18"/>
        </w:rPr>
        <w:t>适用 □不适用</w:t>
      </w:r>
    </w:p>
    <w:p>
      <w:pPr>
        <w:pStyle w:val="11"/>
        <w:spacing w:before="40" w:beforeAutospacing="0" w:after="40" w:afterAutospacing="0"/>
        <w:ind w:firstLine="363"/>
      </w:pPr>
      <w:r>
        <w:rPr>
          <w:rFonts w:ascii="Times New Roman" w:hAnsi="Times New Roman" w:cs="Times New Roman"/>
          <w:sz w:val="18"/>
          <w:szCs w:val="18"/>
        </w:rPr>
        <w:t>1</w:t>
      </w:r>
      <w:r>
        <w:rPr>
          <w:rFonts w:hint="eastAsia" w:ascii="Times New Roman" w:hAnsi="Times New Roman" w:cs="Times New Roman"/>
          <w:sz w:val="18"/>
          <w:szCs w:val="18"/>
        </w:rPr>
        <w:t>、</w:t>
      </w:r>
      <w:r>
        <w:rPr>
          <w:rFonts w:ascii="Times New Roman" w:hAnsi="Times New Roman" w:cs="Times New Roman"/>
          <w:sz w:val="18"/>
          <w:szCs w:val="18"/>
        </w:rPr>
        <w:t xml:space="preserve">2022 </w:t>
      </w:r>
      <w:r>
        <w:rPr>
          <w:rFonts w:hint="eastAsia"/>
          <w:sz w:val="18"/>
          <w:szCs w:val="18"/>
        </w:rPr>
        <w:t xml:space="preserve">年 </w:t>
      </w:r>
      <w:r>
        <w:rPr>
          <w:rFonts w:ascii="Times New Roman" w:hAnsi="Times New Roman" w:cs="Times New Roman"/>
          <w:sz w:val="18"/>
          <w:szCs w:val="18"/>
        </w:rPr>
        <w:t xml:space="preserve">4 </w:t>
      </w:r>
      <w:r>
        <w:rPr>
          <w:rFonts w:hint="eastAsia"/>
          <w:sz w:val="18"/>
          <w:szCs w:val="18"/>
        </w:rPr>
        <w:t xml:space="preserve">年 </w:t>
      </w:r>
      <w:r>
        <w:rPr>
          <w:rFonts w:ascii="Times New Roman" w:hAnsi="Times New Roman" w:cs="Times New Roman"/>
          <w:sz w:val="18"/>
          <w:szCs w:val="18"/>
        </w:rPr>
        <w:t xml:space="preserve">28 </w:t>
      </w:r>
      <w:r>
        <w:rPr>
          <w:rFonts w:hint="eastAsia"/>
          <w:sz w:val="18"/>
          <w:szCs w:val="18"/>
        </w:rPr>
        <w:t xml:space="preserve">月，公司与赣州集盛科技有限责任公司签署《龙南集盛科技有限公司出资人协议书》，确认共同出资人民币 </w:t>
      </w:r>
      <w:r>
        <w:rPr>
          <w:rFonts w:ascii="Times New Roman" w:hAnsi="Times New Roman" w:cs="Times New Roman"/>
          <w:sz w:val="18"/>
          <w:szCs w:val="18"/>
        </w:rPr>
        <w:t xml:space="preserve">2,000 </w:t>
      </w:r>
      <w:r>
        <w:rPr>
          <w:rFonts w:hint="eastAsia"/>
          <w:sz w:val="18"/>
          <w:szCs w:val="18"/>
        </w:rPr>
        <w:t>万元，设立</w:t>
      </w:r>
      <w:r>
        <w:rPr>
          <w:rFonts w:ascii="Times New Roman" w:hAnsi="Times New Roman" w:cs="Times New Roman"/>
          <w:sz w:val="18"/>
          <w:szCs w:val="18"/>
        </w:rPr>
        <w:t>“</w:t>
      </w:r>
      <w:r>
        <w:rPr>
          <w:rFonts w:hint="eastAsia"/>
          <w:sz w:val="18"/>
          <w:szCs w:val="18"/>
        </w:rPr>
        <w:t>龙南集盛科技有限公司</w:t>
      </w:r>
      <w:r>
        <w:rPr>
          <w:rFonts w:ascii="Times New Roman" w:hAnsi="Times New Roman" w:cs="Times New Roman"/>
          <w:sz w:val="18"/>
          <w:szCs w:val="18"/>
        </w:rPr>
        <w:t>”</w:t>
      </w:r>
      <w:r>
        <w:rPr>
          <w:rFonts w:hint="eastAsia"/>
          <w:sz w:val="18"/>
          <w:szCs w:val="18"/>
        </w:rPr>
        <w:t>（暂定名），新建</w:t>
      </w:r>
      <w:r>
        <w:rPr>
          <w:rFonts w:ascii="Times New Roman" w:hAnsi="Times New Roman" w:cs="Times New Roman"/>
          <w:sz w:val="18"/>
          <w:szCs w:val="18"/>
        </w:rPr>
        <w:t>“</w:t>
      </w:r>
      <w:r>
        <w:rPr>
          <w:rFonts w:hint="eastAsia"/>
          <w:sz w:val="18"/>
          <w:szCs w:val="18"/>
        </w:rPr>
        <w:t xml:space="preserve">年产 </w:t>
      </w:r>
      <w:r>
        <w:rPr>
          <w:rFonts w:ascii="Times New Roman" w:hAnsi="Times New Roman" w:cs="Times New Roman"/>
          <w:sz w:val="18"/>
          <w:szCs w:val="18"/>
        </w:rPr>
        <w:t xml:space="preserve">3200 </w:t>
      </w:r>
      <w:r>
        <w:rPr>
          <w:rFonts w:hint="eastAsia"/>
          <w:sz w:val="18"/>
          <w:szCs w:val="18"/>
        </w:rPr>
        <w:t xml:space="preserve">吨 </w:t>
      </w:r>
      <w:r>
        <w:rPr>
          <w:rFonts w:ascii="Times New Roman" w:hAnsi="Times New Roman" w:cs="Times New Roman"/>
          <w:sz w:val="18"/>
          <w:szCs w:val="18"/>
        </w:rPr>
        <w:t xml:space="preserve">REO </w:t>
      </w:r>
      <w:r>
        <w:rPr>
          <w:rFonts w:hint="eastAsia"/>
          <w:sz w:val="18"/>
          <w:szCs w:val="18"/>
        </w:rPr>
        <w:t>二次资源综合利用项目</w:t>
      </w:r>
      <w:r>
        <w:rPr>
          <w:rFonts w:ascii="Times New Roman" w:hAnsi="Times New Roman" w:cs="Times New Roman"/>
          <w:sz w:val="18"/>
          <w:szCs w:val="18"/>
        </w:rPr>
        <w:t>”</w:t>
      </w:r>
      <w:r>
        <w:rPr>
          <w:rFonts w:hint="eastAsia"/>
          <w:sz w:val="18"/>
          <w:szCs w:val="18"/>
        </w:rPr>
        <w:t xml:space="preserve">，从事钕铁硼废料、熔盐渣、城市矿产等资源回收加工及销售业务。其中公司出资 </w:t>
      </w:r>
      <w:r>
        <w:rPr>
          <w:rFonts w:ascii="Times New Roman" w:hAnsi="Times New Roman" w:cs="Times New Roman"/>
          <w:sz w:val="18"/>
          <w:szCs w:val="18"/>
        </w:rPr>
        <w:t xml:space="preserve">700 </w:t>
      </w:r>
      <w:r>
        <w:rPr>
          <w:rFonts w:hint="eastAsia"/>
          <w:sz w:val="18"/>
          <w:szCs w:val="18"/>
        </w:rPr>
        <w:t xml:space="preserve">万元，出资比例为 </w:t>
      </w:r>
      <w:r>
        <w:rPr>
          <w:rFonts w:ascii="Times New Roman" w:hAnsi="Times New Roman" w:cs="Times New Roman"/>
          <w:sz w:val="18"/>
          <w:szCs w:val="18"/>
        </w:rPr>
        <w:t>35%</w:t>
      </w:r>
      <w:r>
        <w:rPr>
          <w:rFonts w:hint="eastAsia"/>
          <w:sz w:val="18"/>
          <w:szCs w:val="18"/>
        </w:rPr>
        <w:t>； 赣州集盛出资</w:t>
      </w:r>
      <w:r>
        <w:rPr>
          <w:rFonts w:ascii="Times New Roman" w:hAnsi="Times New Roman" w:cs="Times New Roman"/>
          <w:sz w:val="18"/>
          <w:szCs w:val="18"/>
        </w:rPr>
        <w:t xml:space="preserve">1,300 </w:t>
      </w:r>
      <w:r>
        <w:rPr>
          <w:rFonts w:hint="eastAsia"/>
          <w:sz w:val="18"/>
          <w:szCs w:val="18"/>
        </w:rPr>
        <w:t xml:space="preserve">万元，出资比例为 </w:t>
      </w:r>
      <w:r>
        <w:rPr>
          <w:rFonts w:ascii="Times New Roman" w:hAnsi="Times New Roman" w:cs="Times New Roman"/>
          <w:sz w:val="18"/>
          <w:szCs w:val="18"/>
        </w:rPr>
        <w:t>65%</w:t>
      </w:r>
      <w:r>
        <w:rPr>
          <w:rFonts w:hint="eastAsia"/>
          <w:sz w:val="18"/>
          <w:szCs w:val="18"/>
        </w:rPr>
        <w:t>。 本次对外投资已经公司第六届董事会第二十一次会议审议通过，截止本报告披露日，新设公司</w:t>
      </w:r>
      <w:r>
        <w:rPr>
          <w:rFonts w:ascii="Times New Roman" w:hAnsi="Times New Roman" w:cs="Times New Roman"/>
          <w:sz w:val="18"/>
          <w:szCs w:val="18"/>
        </w:rPr>
        <w:t>“</w:t>
      </w:r>
      <w:r>
        <w:rPr>
          <w:rFonts w:hint="eastAsia"/>
          <w:sz w:val="18"/>
          <w:szCs w:val="18"/>
        </w:rPr>
        <w:t>赣州川益科技有限公司</w:t>
      </w:r>
      <w:r>
        <w:rPr>
          <w:rFonts w:ascii="Times New Roman" w:hAnsi="Times New Roman" w:cs="Times New Roman"/>
          <w:sz w:val="18"/>
          <w:szCs w:val="18"/>
        </w:rPr>
        <w:t>”</w:t>
      </w:r>
      <w:r>
        <w:rPr>
          <w:rFonts w:hint="eastAsia"/>
          <w:sz w:val="18"/>
          <w:szCs w:val="18"/>
        </w:rPr>
        <w:t>完成注册登记，但尚未实际出资。</w:t>
      </w:r>
    </w:p>
    <w:p>
      <w:pPr>
        <w:pStyle w:val="11"/>
        <w:spacing w:before="40" w:beforeAutospacing="0" w:after="40" w:afterAutospacing="0"/>
        <w:ind w:firstLine="363"/>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w:t>
      </w:r>
      <w:r>
        <w:rPr>
          <w:rFonts w:ascii="Times New Roman" w:hAnsi="Times New Roman" w:cs="Times New Roman"/>
          <w:sz w:val="18"/>
          <w:szCs w:val="18"/>
        </w:rPr>
        <w:t>2022</w:t>
      </w:r>
      <w:r>
        <w:rPr>
          <w:rFonts w:hint="eastAsia" w:ascii="Times New Roman" w:hAnsi="Times New Roman" w:cs="Times New Roman"/>
          <w:sz w:val="18"/>
          <w:szCs w:val="18"/>
        </w:rPr>
        <w:t>年</w:t>
      </w:r>
      <w:r>
        <w:rPr>
          <w:rFonts w:ascii="Times New Roman" w:hAnsi="Times New Roman" w:cs="Times New Roman"/>
          <w:sz w:val="18"/>
          <w:szCs w:val="18"/>
        </w:rPr>
        <w:t>6</w:t>
      </w:r>
      <w:r>
        <w:rPr>
          <w:rFonts w:hint="eastAsia" w:ascii="Times New Roman" w:hAnsi="Times New Roman" w:cs="Times New Roman"/>
          <w:sz w:val="18"/>
          <w:szCs w:val="18"/>
        </w:rPr>
        <w:t>月</w:t>
      </w:r>
      <w:r>
        <w:rPr>
          <w:rFonts w:ascii="Times New Roman" w:hAnsi="Times New Roman" w:cs="Times New Roman"/>
          <w:sz w:val="18"/>
          <w:szCs w:val="18"/>
        </w:rPr>
        <w:t>28</w:t>
      </w:r>
      <w:r>
        <w:rPr>
          <w:rFonts w:hint="eastAsia" w:ascii="Times New Roman" w:hAnsi="Times New Roman" w:cs="Times New Roman"/>
          <w:sz w:val="18"/>
          <w:szCs w:val="18"/>
        </w:rPr>
        <w:t>日，公司第六届董事会第二十二次会议审议通过《年产</w:t>
      </w:r>
      <w:r>
        <w:rPr>
          <w:rFonts w:ascii="Times New Roman" w:hAnsi="Times New Roman" w:cs="Times New Roman"/>
          <w:sz w:val="18"/>
          <w:szCs w:val="18"/>
        </w:rPr>
        <w:t xml:space="preserve"> 500 </w:t>
      </w:r>
      <w:r>
        <w:rPr>
          <w:rFonts w:hint="eastAsia" w:ascii="Times New Roman" w:hAnsi="Times New Roman" w:cs="Times New Roman"/>
          <w:sz w:val="18"/>
          <w:szCs w:val="18"/>
        </w:rPr>
        <w:t>万只水表智能工厂建设项目》的议案，批准公司实施“年产</w:t>
      </w:r>
      <w:r>
        <w:rPr>
          <w:rFonts w:ascii="Times New Roman" w:hAnsi="Times New Roman" w:cs="Times New Roman"/>
          <w:sz w:val="18"/>
          <w:szCs w:val="18"/>
        </w:rPr>
        <w:t xml:space="preserve"> 500 </w:t>
      </w:r>
      <w:r>
        <w:rPr>
          <w:rFonts w:hint="eastAsia" w:ascii="Times New Roman" w:hAnsi="Times New Roman" w:cs="Times New Roman"/>
          <w:sz w:val="18"/>
          <w:szCs w:val="18"/>
        </w:rPr>
        <w:t>万只水表智能工厂建设项目</w:t>
      </w:r>
      <w:r>
        <w:rPr>
          <w:rFonts w:ascii="Times New Roman" w:hAnsi="Times New Roman" w:cs="Times New Roman"/>
          <w:sz w:val="18"/>
          <w:szCs w:val="18"/>
        </w:rPr>
        <w:t>”</w:t>
      </w:r>
      <w:r>
        <w:rPr>
          <w:rFonts w:hint="eastAsia" w:ascii="Times New Roman" w:hAnsi="Times New Roman" w:cs="Times New Roman"/>
          <w:sz w:val="18"/>
          <w:szCs w:val="18"/>
        </w:rPr>
        <w:t>。该项目建设地点位于江西省鹰潭高新区龙岗片区公司现有三川水工产业园内，项目总投资</w:t>
      </w:r>
      <w:r>
        <w:rPr>
          <w:rFonts w:ascii="Times New Roman" w:hAnsi="Times New Roman" w:cs="Times New Roman"/>
          <w:sz w:val="18"/>
          <w:szCs w:val="18"/>
        </w:rPr>
        <w:t xml:space="preserve"> 20,500 </w:t>
      </w:r>
      <w:r>
        <w:rPr>
          <w:rFonts w:hint="eastAsia" w:ascii="Times New Roman" w:hAnsi="Times New Roman" w:cs="Times New Roman"/>
          <w:sz w:val="18"/>
          <w:szCs w:val="18"/>
        </w:rPr>
        <w:t>万元，建设内容主要包括：智能仓储、智慧物流、自动化产线、信息化系统以及</w:t>
      </w:r>
      <w:r>
        <w:rPr>
          <w:rFonts w:ascii="Times New Roman" w:hAnsi="Times New Roman" w:cs="Times New Roman"/>
          <w:sz w:val="18"/>
          <w:szCs w:val="18"/>
        </w:rPr>
        <w:t xml:space="preserve"> 5G </w:t>
      </w:r>
      <w:r>
        <w:rPr>
          <w:rFonts w:hint="eastAsia" w:ascii="Times New Roman" w:hAnsi="Times New Roman" w:cs="Times New Roman"/>
          <w:sz w:val="18"/>
          <w:szCs w:val="18"/>
        </w:rPr>
        <w:t>定制网</w:t>
      </w:r>
      <w:r>
        <w:rPr>
          <w:rFonts w:ascii="Times New Roman" w:hAnsi="Times New Roman" w:cs="Times New Roman"/>
          <w:sz w:val="18"/>
          <w:szCs w:val="18"/>
        </w:rPr>
        <w:t>+</w:t>
      </w:r>
      <w:r>
        <w:rPr>
          <w:rFonts w:hint="eastAsia" w:ascii="Times New Roman" w:hAnsi="Times New Roman" w:cs="Times New Roman"/>
          <w:sz w:val="18"/>
          <w:szCs w:val="18"/>
        </w:rPr>
        <w:t>工业互联网平台等。</w:t>
      </w:r>
    </w:p>
    <w:p>
      <w:pPr>
        <w:pStyle w:val="11"/>
        <w:spacing w:before="40" w:beforeAutospacing="0" w:after="40" w:afterAutospacing="0"/>
        <w:ind w:firstLine="363"/>
        <w:rPr>
          <w:rFonts w:ascii="Times New Roman" w:hAnsi="Times New Roman" w:cs="Times New Roman"/>
          <w:sz w:val="18"/>
          <w:szCs w:val="18"/>
        </w:rPr>
      </w:pPr>
      <w:r>
        <w:rPr>
          <w:rFonts w:hint="eastAsia" w:ascii="Times New Roman" w:hAnsi="Times New Roman" w:cs="Times New Roman"/>
          <w:sz w:val="18"/>
          <w:szCs w:val="18"/>
        </w:rPr>
        <w:t>3、2022年10月25日，为统筹稀土资源回收利用业务板块的管理，加快落实公司智能制造和稀土资源回收利用两大业务板块的战略布局，公司召开了第六届董事会第二十五次会议，审议通过了《关于对外投资设立全资子公司的议案》，同意公司以自有资金5,000万元人民币投资设立全资子公司赣州三川稀土有限责任公司。</w:t>
      </w:r>
    </w:p>
    <w:p>
      <w:pPr>
        <w:pStyle w:val="3"/>
        <w:spacing w:before="300" w:after="300" w:line="320" w:lineRule="exact"/>
        <w:rPr>
          <w:rFonts w:ascii="宋体" w:hAnsi="宋体" w:eastAsia="宋体" w:cs="宋体"/>
          <w:b/>
          <w:bCs/>
          <w:sz w:val="24"/>
          <w:szCs w:val="24"/>
        </w:rPr>
      </w:pPr>
      <w:bookmarkStart w:id="126" w:name="_Toc989013"/>
      <w:r>
        <w:rPr>
          <w:rFonts w:ascii="宋体" w:hAnsi="宋体" w:eastAsia="宋体" w:cs="宋体"/>
          <w:b/>
          <w:bCs/>
          <w:sz w:val="24"/>
          <w:szCs w:val="24"/>
        </w:rPr>
        <w:t>十七、公司子公司重大事项</w:t>
      </w:r>
      <w:bookmarkEnd w:id="126"/>
    </w:p>
    <w:p>
      <w:pPr>
        <w:spacing w:before="100" w:after="100" w:line="240" w:lineRule="exact"/>
        <w:rPr>
          <w:rFonts w:ascii="宋体" w:hAnsi="宋体" w:eastAsia="宋体" w:cs="宋体"/>
          <w:sz w:val="18"/>
          <w:szCs w:val="18"/>
        </w:rPr>
      </w:pPr>
      <w:r>
        <w:rPr>
          <w:szCs w:val="24"/>
        </w:rPr>
        <w:t>√</w:t>
      </w:r>
      <w:r>
        <w:rPr>
          <w:rFonts w:ascii="宋体" w:hAnsi="宋体" w:eastAsia="宋体" w:cs="宋体"/>
          <w:sz w:val="18"/>
          <w:szCs w:val="18"/>
        </w:rPr>
        <w:t>适用 □不适用</w:t>
      </w:r>
    </w:p>
    <w:p>
      <w:pPr>
        <w:pStyle w:val="11"/>
        <w:spacing w:before="40" w:beforeAutospacing="0" w:after="40" w:afterAutospacing="0"/>
        <w:ind w:firstLine="360" w:firstLineChars="200"/>
      </w:pPr>
      <w:r>
        <w:rPr>
          <w:rFonts w:hint="eastAsia" w:ascii="Times New Roman" w:hAnsi="Times New Roman" w:cs="Times New Roman"/>
          <w:sz w:val="18"/>
          <w:szCs w:val="18"/>
        </w:rPr>
        <w:t xml:space="preserve"> 2022年11月11日，公司第六届董事会第二十六次会议审议通过了《关于天和永磁实施年产3000吨稀土氧化物二次资源综合利用技术改造项目的议案》，同意公司控股子公司天和永磁拟投资约2.8亿元实施“年产3000吨稀土氧化物二次资源综合利用技术改造成项目”，该项目已于2022年5月经江西省工业和信息化厅核准。根据江西省工业和信息化厅《关于赣州天和永磁材料有限公司年产3000吨稀土氧化物二次资源综合利用技术改造项目核准的批复》（赣工信有色[2022]17号），项目主要建设内容为：1、在原有建设内容的基础上，对现有萃取车间进行扩建并重新调整布局，新建油泥堆料场和铁渣堆料场；2、新增预焙烧转窑、电捕焦油器、产品灼烧窑等工序设备，进一步提升工厂自动化、智能化水平。项目建设地点为江西省赣州市章贡区水西工业园冶金大道，项目改扩建均在原厂区内预留土地上实施。详情见公司于2022年11月12日巨潮资讯网披露的《关于控股子公司实施“年产</w:t>
      </w:r>
      <w:r>
        <w:rPr>
          <w:rFonts w:ascii="Times New Roman" w:hAnsi="Times New Roman" w:cs="Times New Roman"/>
          <w:sz w:val="18"/>
          <w:szCs w:val="18"/>
        </w:rPr>
        <w:t>3000</w:t>
      </w:r>
      <w:r>
        <w:rPr>
          <w:rFonts w:hint="eastAsia" w:ascii="Times New Roman" w:hAnsi="Times New Roman" w:cs="Times New Roman"/>
          <w:sz w:val="18"/>
          <w:szCs w:val="18"/>
        </w:rPr>
        <w:t>吨稀土氧化物二次资源综合利用技术改造项目”的公告》，</w:t>
      </w:r>
      <w:r>
        <w:rPr>
          <w:rFonts w:hint="eastAsia" w:cs="Times New Roman"/>
          <w:sz w:val="18"/>
          <w:szCs w:val="18"/>
        </w:rPr>
        <w:t>披露索引：</w:t>
      </w:r>
      <w:r>
        <w:fldChar w:fldCharType="begin"/>
      </w:r>
      <w:r>
        <w:instrText xml:space="preserve"> HYPERLINK "http://www.cninfo.com.cn2022-037" </w:instrText>
      </w:r>
      <w:r>
        <w:fldChar w:fldCharType="separate"/>
      </w:r>
      <w:r>
        <w:rPr>
          <w:rFonts w:hint="eastAsia" w:cs="Times New Roman"/>
          <w:sz w:val="18"/>
          <w:szCs w:val="18"/>
        </w:rPr>
        <w:t>http://www.cninfo.com.cn2022-067。</w:t>
      </w:r>
      <w:r>
        <w:rPr>
          <w:rFonts w:hint="eastAsia" w:cs="Times New Roman"/>
          <w:sz w:val="18"/>
          <w:szCs w:val="18"/>
        </w:rPr>
        <w:fldChar w:fldCharType="end"/>
      </w:r>
      <w:r>
        <w:br w:type="page"/>
      </w:r>
    </w:p>
    <w:p>
      <w:pPr>
        <w:pStyle w:val="20"/>
        <w:spacing w:before="340" w:after="330" w:line="773" w:lineRule="exact"/>
        <w:jc w:val="center"/>
        <w:rPr>
          <w:rFonts w:ascii="宋体" w:hAnsi="宋体" w:eastAsia="宋体" w:cs="宋体"/>
          <w:b/>
          <w:bCs/>
          <w:sz w:val="32"/>
          <w:szCs w:val="32"/>
        </w:rPr>
      </w:pPr>
      <w:bookmarkStart w:id="127" w:name="_Toc989014"/>
      <w:r>
        <w:rPr>
          <w:rFonts w:ascii="宋体" w:hAnsi="宋体" w:eastAsia="宋体" w:cs="宋体"/>
          <w:b/>
          <w:bCs/>
          <w:sz w:val="32"/>
          <w:szCs w:val="32"/>
        </w:rPr>
        <w:t>第七节 股份变动及股东情况</w:t>
      </w:r>
      <w:bookmarkEnd w:id="127"/>
    </w:p>
    <w:p>
      <w:pPr>
        <w:pStyle w:val="3"/>
        <w:spacing w:before="300" w:after="300" w:line="320" w:lineRule="exact"/>
        <w:rPr>
          <w:rFonts w:ascii="宋体" w:hAnsi="宋体" w:eastAsia="宋体" w:cs="宋体"/>
          <w:b/>
          <w:bCs/>
          <w:sz w:val="24"/>
          <w:szCs w:val="24"/>
        </w:rPr>
      </w:pPr>
      <w:bookmarkStart w:id="128" w:name="_Toc989015"/>
      <w:r>
        <w:rPr>
          <w:rFonts w:ascii="宋体" w:hAnsi="宋体" w:eastAsia="宋体" w:cs="宋体"/>
          <w:b/>
          <w:bCs/>
          <w:sz w:val="24"/>
          <w:szCs w:val="24"/>
        </w:rPr>
        <w:t>一、股份变动情况</w:t>
      </w:r>
      <w:bookmarkEnd w:id="128"/>
    </w:p>
    <w:p>
      <w:pPr>
        <w:pStyle w:val="4"/>
        <w:spacing w:line="280" w:lineRule="exact"/>
        <w:jc w:val="left"/>
        <w:rPr>
          <w:rFonts w:ascii="宋体" w:hAnsi="宋体" w:cs="宋体"/>
          <w:b/>
          <w:bCs/>
        </w:rPr>
      </w:pPr>
      <w:bookmarkStart w:id="129" w:name="_Toc989016"/>
      <w:r>
        <w:rPr>
          <w:rFonts w:ascii="宋体" w:hAnsi="宋体" w:cs="宋体"/>
          <w:b/>
          <w:bCs/>
        </w:rPr>
        <w:t>1、股份变动情况</w:t>
      </w:r>
      <w:bookmarkEnd w:id="129"/>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单位：股</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418"/>
        <w:gridCol w:w="1417"/>
        <w:gridCol w:w="851"/>
        <w:gridCol w:w="709"/>
        <w:gridCol w:w="567"/>
        <w:gridCol w:w="821"/>
        <w:gridCol w:w="596"/>
        <w:gridCol w:w="851"/>
        <w:gridCol w:w="1445"/>
        <w:gridCol w:w="96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tc>
        <w:tc>
          <w:tcPr>
            <w:tcW w:w="2268"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本次变动前</w:t>
            </w:r>
          </w:p>
        </w:tc>
        <w:tc>
          <w:tcPr>
            <w:tcW w:w="3544"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本次变动增减（＋，－）</w:t>
            </w:r>
          </w:p>
        </w:tc>
        <w:tc>
          <w:tcPr>
            <w:tcW w:w="2409"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本次变动后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4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数量</w:t>
            </w:r>
          </w:p>
        </w:tc>
        <w:tc>
          <w:tcPr>
            <w:tcW w:w="85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70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发行新股</w:t>
            </w:r>
          </w:p>
        </w:tc>
        <w:tc>
          <w:tcPr>
            <w:tcW w:w="56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送股</w:t>
            </w:r>
          </w:p>
        </w:tc>
        <w:tc>
          <w:tcPr>
            <w:tcW w:w="82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公积金转股</w:t>
            </w:r>
          </w:p>
        </w:tc>
        <w:tc>
          <w:tcPr>
            <w:tcW w:w="59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85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小计</w:t>
            </w:r>
          </w:p>
        </w:tc>
        <w:tc>
          <w:tcPr>
            <w:tcW w:w="144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数量</w:t>
            </w:r>
          </w:p>
        </w:tc>
        <w:tc>
          <w:tcPr>
            <w:tcW w:w="96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一、有限售条件股份</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36,605,124</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3.52%</w:t>
            </w:r>
          </w:p>
        </w:tc>
        <w:tc>
          <w:tcPr>
            <w:tcW w:w="7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2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9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36,605,123</w:t>
            </w:r>
          </w:p>
        </w:tc>
        <w:tc>
          <w:tcPr>
            <w:tcW w:w="96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1、国家持股</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7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2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9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96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2、国有法人持股</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7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2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9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96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3、其他内资持股</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36,605,124</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3.52%</w:t>
            </w:r>
          </w:p>
        </w:tc>
        <w:tc>
          <w:tcPr>
            <w:tcW w:w="7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2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9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36,605,123</w:t>
            </w:r>
          </w:p>
        </w:tc>
        <w:tc>
          <w:tcPr>
            <w:tcW w:w="96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其中：境内法人持股</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7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2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9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96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境内自然人持股</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36,605,124</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3.52%</w:t>
            </w:r>
          </w:p>
        </w:tc>
        <w:tc>
          <w:tcPr>
            <w:tcW w:w="7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2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9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36,605,123</w:t>
            </w:r>
          </w:p>
        </w:tc>
        <w:tc>
          <w:tcPr>
            <w:tcW w:w="96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4、外资持股</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7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2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9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96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其中：境外法人持股</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7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2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9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96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境外自然人持股</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7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2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9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96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二、无限售条件股份</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1,003,428,138</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96.48%</w:t>
            </w:r>
          </w:p>
        </w:tc>
        <w:tc>
          <w:tcPr>
            <w:tcW w:w="7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2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9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1,003,428,139</w:t>
            </w:r>
          </w:p>
        </w:tc>
        <w:tc>
          <w:tcPr>
            <w:tcW w:w="96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1、人民币普通股</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1,003,428,138</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96.48%</w:t>
            </w:r>
          </w:p>
        </w:tc>
        <w:tc>
          <w:tcPr>
            <w:tcW w:w="7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2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9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1,003,428,139</w:t>
            </w:r>
          </w:p>
        </w:tc>
        <w:tc>
          <w:tcPr>
            <w:tcW w:w="96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2、境内上市的外资股</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7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2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9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96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3、境外上市的外资股</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7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2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9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96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4、其他</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7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2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9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96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三、股份总数</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7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2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9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w:t>
            </w:r>
          </w:p>
        </w:tc>
        <w:tc>
          <w:tcPr>
            <w:tcW w:w="96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股份变动的原因</w:t>
      </w:r>
    </w:p>
    <w:p>
      <w:pPr>
        <w:spacing w:before="100" w:after="100" w:line="240" w:lineRule="exact"/>
        <w:rPr>
          <w:rFonts w:ascii="宋体" w:hAnsi="宋体" w:eastAsia="宋体" w:cs="宋体"/>
          <w:sz w:val="18"/>
          <w:szCs w:val="18"/>
        </w:rPr>
      </w:pPr>
      <w:r>
        <w:rPr>
          <w:szCs w:val="24"/>
        </w:rPr>
        <w:t>√</w:t>
      </w:r>
      <w:r>
        <w:rPr>
          <w:rFonts w:ascii="宋体" w:hAnsi="宋体" w:eastAsia="宋体" w:cs="宋体"/>
          <w:sz w:val="18"/>
          <w:szCs w:val="18"/>
        </w:rPr>
        <w:t>适用 □不适用</w:t>
      </w:r>
    </w:p>
    <w:p>
      <w:pPr>
        <w:pStyle w:val="11"/>
        <w:spacing w:before="0" w:beforeAutospacing="0" w:after="0" w:afterAutospacing="0"/>
        <w:rPr>
          <w:rFonts w:ascii="Times New Roman" w:hAnsi="Times New Roman" w:cs="Times New Roman"/>
        </w:rPr>
      </w:pPr>
      <w:r>
        <w:rPr>
          <w:rFonts w:hint="eastAsia" w:cs="Times New Roman"/>
          <w:sz w:val="18"/>
          <w:szCs w:val="18"/>
        </w:rPr>
        <w:t>因吴雪松先生存在多个账户，合并计算时四舍五入导致其所持限售股出现一股差异。</w:t>
      </w:r>
    </w:p>
    <w:p>
      <w:pPr>
        <w:spacing w:before="100" w:after="100" w:line="240" w:lineRule="exact"/>
        <w:rPr>
          <w:rFonts w:ascii="宋体" w:hAnsi="宋体" w:eastAsia="宋体" w:cs="宋体"/>
          <w:sz w:val="18"/>
          <w:szCs w:val="18"/>
        </w:rPr>
      </w:pPr>
      <w:r>
        <w:rPr>
          <w:rFonts w:ascii="宋体" w:hAnsi="宋体" w:eastAsia="宋体" w:cs="宋体"/>
          <w:sz w:val="18"/>
          <w:szCs w:val="18"/>
        </w:rPr>
        <w:t>股份变动的批准情况</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股份变动的过户情况</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股份变动对最近一年和最近一期基本每股收益和稀释每股收益、归属于公司普通股股东的每股净资产等财务指标的影响</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公司认为必要或证券监管机构要求披露的其他内容</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pStyle w:val="4"/>
        <w:spacing w:line="280" w:lineRule="exact"/>
        <w:jc w:val="left"/>
        <w:rPr>
          <w:rFonts w:ascii="宋体" w:hAnsi="宋体" w:cs="宋体"/>
          <w:b/>
          <w:bCs/>
        </w:rPr>
      </w:pPr>
      <w:bookmarkStart w:id="130" w:name="_Toc989017"/>
      <w:r>
        <w:rPr>
          <w:rFonts w:ascii="宋体" w:hAnsi="宋体" w:cs="宋体"/>
          <w:b/>
          <w:bCs/>
        </w:rPr>
        <w:t>2、限售股份变动情况</w:t>
      </w:r>
      <w:bookmarkEnd w:id="130"/>
    </w:p>
    <w:p>
      <w:pPr>
        <w:spacing w:before="100" w:after="100" w:line="240" w:lineRule="exact"/>
        <w:rPr>
          <w:rFonts w:ascii="宋体" w:hAnsi="宋体" w:eastAsia="宋体" w:cs="宋体"/>
          <w:sz w:val="18"/>
          <w:szCs w:val="18"/>
        </w:rPr>
      </w:pPr>
      <w:r>
        <w:rPr>
          <w:szCs w:val="24"/>
        </w:rPr>
        <w:t>√</w:t>
      </w:r>
      <w:r>
        <w:rPr>
          <w:rFonts w:ascii="宋体" w:hAnsi="宋体" w:eastAsia="宋体" w:cs="宋体"/>
          <w:sz w:val="18"/>
          <w:szCs w:val="18"/>
        </w:rPr>
        <w:t>适用 □不适用</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单位：股</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股东名称</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期初限售股数</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本期增加限售股数</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本期解除限售股数</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期末限售股数</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限售原因</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解除限售日期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李建林</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3,487,500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3,487,500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高管锁定</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根据相关规定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李强祖</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4,872,940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4,872,940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高管锁定</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根据相关规定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宋财华</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2,046,160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2,046,160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高管锁定</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根据相关规定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吴雪松</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2,482,210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2,482,209</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高管锁定</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2023年10月30日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童为民</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144,007</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144,007</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高管锁定</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根据相关规定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童保华</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23,433,100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23,433,100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高管锁定</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根据相关规定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倪国强</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139,207</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139,207</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高管锁定</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根据相关规定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36,605,124</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36,605,123</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bl>
    <w:p>
      <w:pPr>
        <w:pStyle w:val="3"/>
        <w:spacing w:before="300" w:after="300" w:line="320" w:lineRule="exact"/>
        <w:rPr>
          <w:rFonts w:ascii="宋体" w:hAnsi="宋体" w:eastAsia="宋体" w:cs="宋体"/>
          <w:b/>
          <w:bCs/>
          <w:sz w:val="24"/>
          <w:szCs w:val="24"/>
        </w:rPr>
      </w:pPr>
      <w:bookmarkStart w:id="131" w:name="_Toc989018"/>
      <w:r>
        <w:rPr>
          <w:rFonts w:ascii="宋体" w:hAnsi="宋体" w:eastAsia="宋体" w:cs="宋体"/>
          <w:b/>
          <w:bCs/>
          <w:sz w:val="24"/>
          <w:szCs w:val="24"/>
        </w:rPr>
        <w:t>二、证券发行与上市情况</w:t>
      </w:r>
      <w:bookmarkEnd w:id="131"/>
    </w:p>
    <w:p>
      <w:pPr>
        <w:pStyle w:val="4"/>
        <w:spacing w:line="280" w:lineRule="exact"/>
        <w:jc w:val="left"/>
        <w:rPr>
          <w:rFonts w:ascii="宋体" w:hAnsi="宋体" w:cs="宋体"/>
          <w:b/>
          <w:bCs/>
        </w:rPr>
      </w:pPr>
      <w:bookmarkStart w:id="132" w:name="_Toc989019"/>
      <w:r>
        <w:rPr>
          <w:rFonts w:ascii="宋体" w:hAnsi="宋体" w:cs="宋体"/>
          <w:b/>
          <w:bCs/>
        </w:rPr>
        <w:t>1、报告期内证券发行（不含优先股）情况</w:t>
      </w:r>
      <w:bookmarkEnd w:id="132"/>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pStyle w:val="4"/>
        <w:spacing w:line="280" w:lineRule="exact"/>
        <w:jc w:val="left"/>
        <w:rPr>
          <w:rFonts w:ascii="宋体" w:hAnsi="宋体" w:cs="宋体"/>
          <w:b/>
          <w:bCs/>
        </w:rPr>
      </w:pPr>
      <w:bookmarkStart w:id="133" w:name="_Toc989020"/>
      <w:r>
        <w:rPr>
          <w:rFonts w:ascii="宋体" w:hAnsi="宋体" w:cs="宋体"/>
          <w:b/>
          <w:bCs/>
        </w:rPr>
        <w:t>2、公司股份总数及股东结构的变动、公司资产和负债结构的变动情况说明</w:t>
      </w:r>
      <w:bookmarkEnd w:id="133"/>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pStyle w:val="4"/>
        <w:spacing w:line="280" w:lineRule="exact"/>
        <w:jc w:val="left"/>
        <w:rPr>
          <w:rFonts w:ascii="宋体" w:hAnsi="宋体" w:cs="宋体"/>
          <w:b/>
          <w:bCs/>
        </w:rPr>
      </w:pPr>
      <w:bookmarkStart w:id="134" w:name="_Toc989021"/>
      <w:r>
        <w:rPr>
          <w:rFonts w:ascii="宋体" w:hAnsi="宋体" w:cs="宋体"/>
          <w:b/>
          <w:bCs/>
        </w:rPr>
        <w:t>3、现存的内部职工股情况</w:t>
      </w:r>
      <w:bookmarkEnd w:id="134"/>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135" w:name="_Toc989022"/>
    </w:p>
    <w:p>
      <w:pPr>
        <w:pStyle w:val="3"/>
        <w:spacing w:before="300" w:after="300" w:line="320" w:lineRule="exact"/>
        <w:rPr>
          <w:rFonts w:ascii="宋体" w:hAnsi="宋体" w:eastAsia="宋体" w:cs="宋体"/>
          <w:b/>
          <w:bCs/>
          <w:sz w:val="24"/>
          <w:szCs w:val="24"/>
        </w:rPr>
      </w:pPr>
    </w:p>
    <w:p>
      <w:pPr>
        <w:pStyle w:val="3"/>
        <w:spacing w:before="300" w:after="300" w:line="320" w:lineRule="exact"/>
        <w:rPr>
          <w:rFonts w:ascii="宋体" w:hAnsi="宋体" w:eastAsia="宋体" w:cs="宋体"/>
          <w:b/>
          <w:bCs/>
          <w:sz w:val="24"/>
          <w:szCs w:val="24"/>
        </w:rPr>
      </w:pPr>
    </w:p>
    <w:p>
      <w:pPr>
        <w:pStyle w:val="3"/>
        <w:spacing w:before="300" w:after="300" w:line="320" w:lineRule="exact"/>
        <w:rPr>
          <w:rFonts w:ascii="宋体" w:hAnsi="宋体" w:eastAsia="宋体" w:cs="宋体"/>
          <w:b/>
          <w:bCs/>
          <w:sz w:val="24"/>
          <w:szCs w:val="24"/>
        </w:rPr>
      </w:pPr>
    </w:p>
    <w:p/>
    <w:p>
      <w:pPr>
        <w:pStyle w:val="3"/>
        <w:spacing w:before="300" w:after="300" w:line="320" w:lineRule="exact"/>
        <w:rPr>
          <w:rFonts w:ascii="宋体" w:hAnsi="宋体" w:eastAsia="宋体" w:cs="宋体"/>
          <w:b/>
          <w:bCs/>
          <w:sz w:val="24"/>
          <w:szCs w:val="24"/>
        </w:rPr>
      </w:pPr>
      <w:r>
        <w:rPr>
          <w:rFonts w:ascii="宋体" w:hAnsi="宋体" w:eastAsia="宋体" w:cs="宋体"/>
          <w:b/>
          <w:bCs/>
          <w:sz w:val="24"/>
          <w:szCs w:val="24"/>
        </w:rPr>
        <w:t>三、股东和实际控制人情况</w:t>
      </w:r>
      <w:bookmarkEnd w:id="135"/>
    </w:p>
    <w:p>
      <w:pPr>
        <w:pStyle w:val="4"/>
        <w:spacing w:line="280" w:lineRule="exact"/>
        <w:jc w:val="left"/>
        <w:rPr>
          <w:rFonts w:ascii="宋体" w:hAnsi="宋体" w:cs="宋体"/>
          <w:b/>
          <w:bCs/>
        </w:rPr>
      </w:pPr>
      <w:bookmarkStart w:id="136" w:name="_Toc989023"/>
      <w:r>
        <w:rPr>
          <w:rFonts w:ascii="宋体" w:hAnsi="宋体" w:cs="宋体"/>
          <w:b/>
          <w:bCs/>
        </w:rPr>
        <w:t>1、公司股东数量及持股情况</w:t>
      </w:r>
      <w:bookmarkEnd w:id="136"/>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单位：股</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91"/>
        <w:gridCol w:w="961"/>
        <w:gridCol w:w="989"/>
        <w:gridCol w:w="763"/>
        <w:gridCol w:w="1172"/>
        <w:gridCol w:w="750"/>
        <w:gridCol w:w="1395"/>
        <w:gridCol w:w="855"/>
        <w:gridCol w:w="990"/>
        <w:gridCol w:w="97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9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报告期末普通股股东总数</w:t>
            </w:r>
          </w:p>
        </w:tc>
        <w:tc>
          <w:tcPr>
            <w:tcW w:w="96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29,327</w:t>
            </w:r>
          </w:p>
        </w:tc>
        <w:tc>
          <w:tcPr>
            <w:tcW w:w="98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年度报告披露日前上一月末普通股股东总数</w:t>
            </w:r>
          </w:p>
        </w:tc>
        <w:tc>
          <w:tcPr>
            <w:tcW w:w="76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28,130</w:t>
            </w:r>
          </w:p>
        </w:tc>
        <w:tc>
          <w:tcPr>
            <w:tcW w:w="117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报告期末表决权恢复的优先股股东总数（如有）（参见注9）</w:t>
            </w:r>
          </w:p>
        </w:tc>
        <w:tc>
          <w:tcPr>
            <w:tcW w:w="7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9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年度报告披露日前上一月末表决权恢复的优先股股东总数（如有）（参见注9）</w:t>
            </w:r>
          </w:p>
        </w:tc>
        <w:tc>
          <w:tcPr>
            <w:tcW w:w="85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99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持有特别表决权股份的股东总数（如有）</w:t>
            </w: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0"/>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持股5%以上的股东或前10名股东持股情况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9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股东名称</w:t>
            </w:r>
          </w:p>
        </w:tc>
        <w:tc>
          <w:tcPr>
            <w:tcW w:w="96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股东性质</w:t>
            </w:r>
          </w:p>
        </w:tc>
        <w:tc>
          <w:tcPr>
            <w:tcW w:w="989"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持股比例</w:t>
            </w:r>
          </w:p>
        </w:tc>
        <w:tc>
          <w:tcPr>
            <w:tcW w:w="763"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报告期末持股数量</w:t>
            </w:r>
          </w:p>
        </w:tc>
        <w:tc>
          <w:tcPr>
            <w:tcW w:w="117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报告期内增减变动情况</w:t>
            </w:r>
          </w:p>
        </w:tc>
        <w:tc>
          <w:tcPr>
            <w:tcW w:w="75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持有有限售条件的股份数量</w:t>
            </w:r>
          </w:p>
        </w:tc>
        <w:tc>
          <w:tcPr>
            <w:tcW w:w="139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持有无限售条件的股份数量</w:t>
            </w:r>
          </w:p>
        </w:tc>
        <w:tc>
          <w:tcPr>
            <w:tcW w:w="2818"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质押、标记或冻结情况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9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96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989"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763"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17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75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39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845"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股份状态</w:t>
            </w:r>
          </w:p>
        </w:tc>
        <w:tc>
          <w:tcPr>
            <w:tcW w:w="97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数量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9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江西三川集团有限公司</w:t>
            </w:r>
          </w:p>
        </w:tc>
        <w:tc>
          <w:tcPr>
            <w:tcW w:w="9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境内非国有法人</w:t>
            </w:r>
          </w:p>
        </w:tc>
        <w:tc>
          <w:tcPr>
            <w:tcW w:w="98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35.84%</w:t>
            </w:r>
          </w:p>
        </w:tc>
        <w:tc>
          <w:tcPr>
            <w:tcW w:w="76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372,742,902</w:t>
            </w:r>
          </w:p>
        </w:tc>
        <w:tc>
          <w:tcPr>
            <w:tcW w:w="117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-52,001,6</w:t>
            </w:r>
          </w:p>
          <w:p>
            <w:pPr>
              <w:spacing w:line="240" w:lineRule="exact"/>
              <w:rPr>
                <w:rFonts w:ascii="宋体" w:hAnsi="宋体" w:eastAsia="宋体" w:cs="宋体"/>
                <w:sz w:val="18"/>
                <w:szCs w:val="18"/>
              </w:rPr>
            </w:pPr>
            <w:r>
              <w:rPr>
                <w:rFonts w:ascii="宋体" w:hAnsi="宋体" w:eastAsia="宋体" w:cs="宋体"/>
                <w:sz w:val="18"/>
                <w:szCs w:val="18"/>
              </w:rPr>
              <w:t>64</w:t>
            </w:r>
          </w:p>
        </w:tc>
        <w:tc>
          <w:tcPr>
            <w:tcW w:w="7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372,742,902</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9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周钢华</w:t>
            </w:r>
          </w:p>
        </w:tc>
        <w:tc>
          <w:tcPr>
            <w:tcW w:w="9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境内自然人</w:t>
            </w:r>
          </w:p>
        </w:tc>
        <w:tc>
          <w:tcPr>
            <w:tcW w:w="98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w:t>
            </w:r>
          </w:p>
        </w:tc>
        <w:tc>
          <w:tcPr>
            <w:tcW w:w="76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52,001,664</w:t>
            </w:r>
          </w:p>
        </w:tc>
        <w:tc>
          <w:tcPr>
            <w:tcW w:w="117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52,001,664</w:t>
            </w:r>
          </w:p>
        </w:tc>
        <w:tc>
          <w:tcPr>
            <w:tcW w:w="7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52,001,664</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质押</w:t>
            </w: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51,984,833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9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王锋</w:t>
            </w:r>
          </w:p>
        </w:tc>
        <w:tc>
          <w:tcPr>
            <w:tcW w:w="9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境内自然人</w:t>
            </w:r>
          </w:p>
        </w:tc>
        <w:tc>
          <w:tcPr>
            <w:tcW w:w="98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4.16%</w:t>
            </w:r>
          </w:p>
        </w:tc>
        <w:tc>
          <w:tcPr>
            <w:tcW w:w="76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43,299,700</w:t>
            </w:r>
          </w:p>
        </w:tc>
        <w:tc>
          <w:tcPr>
            <w:tcW w:w="117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-6,346,300</w:t>
            </w:r>
          </w:p>
        </w:tc>
        <w:tc>
          <w:tcPr>
            <w:tcW w:w="7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43,299,700</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9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童保华</w:t>
            </w:r>
          </w:p>
        </w:tc>
        <w:tc>
          <w:tcPr>
            <w:tcW w:w="9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境内自然人</w:t>
            </w:r>
          </w:p>
        </w:tc>
        <w:tc>
          <w:tcPr>
            <w:tcW w:w="98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3.00%</w:t>
            </w:r>
          </w:p>
        </w:tc>
        <w:tc>
          <w:tcPr>
            <w:tcW w:w="76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31,244,133</w:t>
            </w:r>
          </w:p>
        </w:tc>
        <w:tc>
          <w:tcPr>
            <w:tcW w:w="117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0</w:t>
            </w:r>
          </w:p>
        </w:tc>
        <w:tc>
          <w:tcPr>
            <w:tcW w:w="7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234,331,000</w:t>
            </w:r>
          </w:p>
        </w:tc>
        <w:tc>
          <w:tcPr>
            <w:tcW w:w="13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7,811,033</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9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黄松浪</w:t>
            </w:r>
          </w:p>
        </w:tc>
        <w:tc>
          <w:tcPr>
            <w:tcW w:w="9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境内自然人</w:t>
            </w:r>
          </w:p>
        </w:tc>
        <w:tc>
          <w:tcPr>
            <w:tcW w:w="98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1.06%</w:t>
            </w:r>
          </w:p>
        </w:tc>
        <w:tc>
          <w:tcPr>
            <w:tcW w:w="76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11,000,000</w:t>
            </w:r>
          </w:p>
        </w:tc>
        <w:tc>
          <w:tcPr>
            <w:tcW w:w="117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11,000,000</w:t>
            </w:r>
          </w:p>
        </w:tc>
        <w:tc>
          <w:tcPr>
            <w:tcW w:w="7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11,000,000</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9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BARCLAYS BANK PLC</w:t>
            </w:r>
          </w:p>
        </w:tc>
        <w:tc>
          <w:tcPr>
            <w:tcW w:w="9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境外法人</w:t>
            </w:r>
          </w:p>
        </w:tc>
        <w:tc>
          <w:tcPr>
            <w:tcW w:w="98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0.89%</w:t>
            </w:r>
          </w:p>
        </w:tc>
        <w:tc>
          <w:tcPr>
            <w:tcW w:w="76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9,230,001</w:t>
            </w:r>
          </w:p>
        </w:tc>
        <w:tc>
          <w:tcPr>
            <w:tcW w:w="117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8,687,951</w:t>
            </w:r>
          </w:p>
        </w:tc>
        <w:tc>
          <w:tcPr>
            <w:tcW w:w="7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9,230,001</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9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夏崇云</w:t>
            </w:r>
          </w:p>
        </w:tc>
        <w:tc>
          <w:tcPr>
            <w:tcW w:w="9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境内自然人</w:t>
            </w:r>
          </w:p>
        </w:tc>
        <w:tc>
          <w:tcPr>
            <w:tcW w:w="98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0.76%</w:t>
            </w:r>
          </w:p>
        </w:tc>
        <w:tc>
          <w:tcPr>
            <w:tcW w:w="76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7,930,609</w:t>
            </w:r>
          </w:p>
        </w:tc>
        <w:tc>
          <w:tcPr>
            <w:tcW w:w="117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-69,350</w:t>
            </w:r>
          </w:p>
        </w:tc>
        <w:tc>
          <w:tcPr>
            <w:tcW w:w="7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7,930,609</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9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吴强</w:t>
            </w:r>
          </w:p>
        </w:tc>
        <w:tc>
          <w:tcPr>
            <w:tcW w:w="9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境内自然人</w:t>
            </w:r>
          </w:p>
        </w:tc>
        <w:tc>
          <w:tcPr>
            <w:tcW w:w="98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0.75%</w:t>
            </w:r>
          </w:p>
        </w:tc>
        <w:tc>
          <w:tcPr>
            <w:tcW w:w="76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7,815,600</w:t>
            </w:r>
          </w:p>
        </w:tc>
        <w:tc>
          <w:tcPr>
            <w:tcW w:w="117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7,815,600</w:t>
            </w:r>
          </w:p>
        </w:tc>
        <w:tc>
          <w:tcPr>
            <w:tcW w:w="7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7,815,600</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9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刘明</w:t>
            </w:r>
          </w:p>
        </w:tc>
        <w:tc>
          <w:tcPr>
            <w:tcW w:w="9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境内自然人</w:t>
            </w:r>
          </w:p>
        </w:tc>
        <w:tc>
          <w:tcPr>
            <w:tcW w:w="98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0.72%</w:t>
            </w:r>
          </w:p>
        </w:tc>
        <w:tc>
          <w:tcPr>
            <w:tcW w:w="76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7,536,617</w:t>
            </w:r>
          </w:p>
        </w:tc>
        <w:tc>
          <w:tcPr>
            <w:tcW w:w="117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7,536,617</w:t>
            </w:r>
          </w:p>
        </w:tc>
        <w:tc>
          <w:tcPr>
            <w:tcW w:w="7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w:t>
            </w:r>
          </w:p>
        </w:tc>
        <w:tc>
          <w:tcPr>
            <w:tcW w:w="13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7,536,617</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9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李强祖</w:t>
            </w:r>
          </w:p>
        </w:tc>
        <w:tc>
          <w:tcPr>
            <w:tcW w:w="9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境内自然人</w:t>
            </w:r>
          </w:p>
        </w:tc>
        <w:tc>
          <w:tcPr>
            <w:tcW w:w="98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0.62%</w:t>
            </w:r>
          </w:p>
        </w:tc>
        <w:tc>
          <w:tcPr>
            <w:tcW w:w="76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6,497,253</w:t>
            </w:r>
          </w:p>
        </w:tc>
        <w:tc>
          <w:tcPr>
            <w:tcW w:w="117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0</w:t>
            </w:r>
          </w:p>
        </w:tc>
        <w:tc>
          <w:tcPr>
            <w:tcW w:w="7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48,729,400</w:t>
            </w:r>
          </w:p>
        </w:tc>
        <w:tc>
          <w:tcPr>
            <w:tcW w:w="13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1,624,313</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战略投资者或一般法人因配售新股成为前10名股东的情况（如有）（参见注4）</w:t>
            </w:r>
          </w:p>
        </w:tc>
        <w:tc>
          <w:tcPr>
            <w:tcW w:w="7887" w:type="dxa"/>
            <w:gridSpan w:val="8"/>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上述股东关联关系或一致行动的说明</w:t>
            </w:r>
          </w:p>
        </w:tc>
        <w:tc>
          <w:tcPr>
            <w:tcW w:w="7887" w:type="dxa"/>
            <w:gridSpan w:val="8"/>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述股东中，李强祖系江西三川集团有限公司实际控制人李建林之子，李建林、李强祖与三川集团为一致行动人，除此之外公司未知其他股东间是否存在关联关系，也未知其是否属于上市公司持股变动信息披露管理办法中规定的一致行动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上述股东涉及委托/受托表决权、放弃表决权情况的说明</w:t>
            </w:r>
          </w:p>
        </w:tc>
        <w:tc>
          <w:tcPr>
            <w:tcW w:w="7887" w:type="dxa"/>
            <w:gridSpan w:val="8"/>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前10名股东中存在回购专户的特别说明（如有）（参见注10）</w:t>
            </w:r>
          </w:p>
        </w:tc>
        <w:tc>
          <w:tcPr>
            <w:tcW w:w="7887" w:type="dxa"/>
            <w:gridSpan w:val="8"/>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0"/>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前10名无限售条件股东持股情况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股东名称</w:t>
            </w:r>
          </w:p>
        </w:tc>
        <w:tc>
          <w:tcPr>
            <w:tcW w:w="5069" w:type="dxa"/>
            <w:gridSpan w:val="5"/>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报告期末持有无限售条件股份数量</w:t>
            </w:r>
          </w:p>
        </w:tc>
        <w:tc>
          <w:tcPr>
            <w:tcW w:w="2818"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股份种类</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5069" w:type="dxa"/>
            <w:gridSpan w:val="5"/>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845"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股份种类</w:t>
            </w:r>
          </w:p>
        </w:tc>
        <w:tc>
          <w:tcPr>
            <w:tcW w:w="97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数量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江西三川集团有限公司</w:t>
            </w:r>
          </w:p>
        </w:tc>
        <w:tc>
          <w:tcPr>
            <w:tcW w:w="5069" w:type="dxa"/>
            <w:gridSpan w:val="5"/>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372,742,902</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人民币普通股</w:t>
            </w: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372,742,902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周钢华</w:t>
            </w:r>
          </w:p>
        </w:tc>
        <w:tc>
          <w:tcPr>
            <w:tcW w:w="5069" w:type="dxa"/>
            <w:gridSpan w:val="5"/>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52,001,664</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人民币普通股</w:t>
            </w: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52,001,664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王锋</w:t>
            </w:r>
          </w:p>
        </w:tc>
        <w:tc>
          <w:tcPr>
            <w:tcW w:w="5069" w:type="dxa"/>
            <w:gridSpan w:val="5"/>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43,299,700</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人民币普通股</w:t>
            </w: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43,299,700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黄松浪</w:t>
            </w:r>
          </w:p>
        </w:tc>
        <w:tc>
          <w:tcPr>
            <w:tcW w:w="5069" w:type="dxa"/>
            <w:gridSpan w:val="5"/>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11,000,000</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人民币普通股</w:t>
            </w: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BARCLAYS BANK PLC</w:t>
            </w:r>
          </w:p>
        </w:tc>
        <w:tc>
          <w:tcPr>
            <w:tcW w:w="5069" w:type="dxa"/>
            <w:gridSpan w:val="5"/>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9,230,001</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人民币普通股</w:t>
            </w: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9,230,001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夏崇云</w:t>
            </w:r>
          </w:p>
        </w:tc>
        <w:tc>
          <w:tcPr>
            <w:tcW w:w="5069" w:type="dxa"/>
            <w:gridSpan w:val="5"/>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7,930,609</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人民币普通股</w:t>
            </w: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7,930,609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吴强</w:t>
            </w:r>
          </w:p>
        </w:tc>
        <w:tc>
          <w:tcPr>
            <w:tcW w:w="5069" w:type="dxa"/>
            <w:gridSpan w:val="5"/>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7,815,600</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人民币普通股</w:t>
            </w: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7,815,600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童保华</w:t>
            </w:r>
          </w:p>
        </w:tc>
        <w:tc>
          <w:tcPr>
            <w:tcW w:w="5069" w:type="dxa"/>
            <w:gridSpan w:val="5"/>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7,811,033</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人民币普通股</w:t>
            </w: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7,811,033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刘明</w:t>
            </w:r>
          </w:p>
        </w:tc>
        <w:tc>
          <w:tcPr>
            <w:tcW w:w="5069" w:type="dxa"/>
            <w:gridSpan w:val="5"/>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7,536,617</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人民币普通股</w:t>
            </w: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7,536,617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汤仙岳</w:t>
            </w:r>
          </w:p>
        </w:tc>
        <w:tc>
          <w:tcPr>
            <w:tcW w:w="5069" w:type="dxa"/>
            <w:gridSpan w:val="5"/>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6,180,000</w:t>
            </w:r>
          </w:p>
        </w:tc>
        <w:tc>
          <w:tcPr>
            <w:tcW w:w="1845"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人民币普通股</w:t>
            </w:r>
          </w:p>
        </w:tc>
        <w:tc>
          <w:tcPr>
            <w:tcW w:w="97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6,180,000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前10名无限售流通股股东之间，以及前10名无限售流通股股东和前10名股东之间关联关系或一致行动的说明</w:t>
            </w:r>
          </w:p>
        </w:tc>
        <w:tc>
          <w:tcPr>
            <w:tcW w:w="7887" w:type="dxa"/>
            <w:gridSpan w:val="8"/>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参与融资融券业务股东情况说明（如有）（参见注5）</w:t>
            </w:r>
          </w:p>
        </w:tc>
        <w:tc>
          <w:tcPr>
            <w:tcW w:w="7887" w:type="dxa"/>
            <w:gridSpan w:val="8"/>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述股东中，股东黄松浪除通过普通证券账户持有0股外，还通过招商证券股份有限公司客户信用交易担保证券账户持有11,000,000股，实际合计持有11,000,000股；股东吴强除通过普通证券账户持有5,000股外，还通过华金证券股份有限公司客户信用交易担保证券账户持有7,810,600股，实际合计持有7,815,600股；股东刘明除通过普通证券账户持有0股外，还通过兴业证券股份有限公司客户信用交易担保证券账户持有7,536,617股，实际合计持有7,536,61股。</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公司是否具有表决权差异安排</w:t>
      </w:r>
    </w:p>
    <w:p>
      <w:pPr>
        <w:spacing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公司前10名普通股股东、前10名无限售条件普通股股东在报告期内是否进行约定购回交易</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□是 </w:t>
      </w:r>
      <w:r>
        <w:rPr>
          <w:szCs w:val="24"/>
        </w:rPr>
        <w:t>√</w:t>
      </w:r>
      <w:r>
        <w:rPr>
          <w:rFonts w:ascii="宋体" w:hAnsi="宋体" w:eastAsia="宋体" w:cs="宋体"/>
          <w:sz w:val="18"/>
          <w:szCs w:val="18"/>
        </w:rPr>
        <w:t>否</w:t>
      </w:r>
    </w:p>
    <w:p>
      <w:pPr>
        <w:spacing w:before="40" w:after="40" w:line="240" w:lineRule="exact"/>
        <w:rPr>
          <w:rFonts w:ascii="宋体" w:hAnsi="宋体" w:eastAsia="宋体" w:cs="宋体"/>
          <w:sz w:val="18"/>
          <w:szCs w:val="18"/>
        </w:rPr>
      </w:pPr>
      <w:r>
        <w:rPr>
          <w:rFonts w:ascii="宋体" w:hAnsi="宋体" w:eastAsia="宋体" w:cs="宋体"/>
          <w:sz w:val="18"/>
          <w:szCs w:val="18"/>
        </w:rPr>
        <w:t>公司前10名普通股股东、前10名无限售条件普通股股东在报告期内未进行约定购回交易。</w:t>
      </w:r>
    </w:p>
    <w:p>
      <w:pPr>
        <w:pStyle w:val="4"/>
        <w:spacing w:line="280" w:lineRule="exact"/>
        <w:jc w:val="left"/>
        <w:rPr>
          <w:rFonts w:ascii="宋体" w:hAnsi="宋体" w:cs="宋体"/>
          <w:b/>
          <w:bCs/>
        </w:rPr>
      </w:pPr>
      <w:bookmarkStart w:id="137" w:name="_Toc989024"/>
    </w:p>
    <w:p>
      <w:pPr>
        <w:pStyle w:val="4"/>
        <w:spacing w:line="280" w:lineRule="exact"/>
        <w:jc w:val="left"/>
        <w:rPr>
          <w:rFonts w:ascii="宋体" w:hAnsi="宋体" w:cs="宋体"/>
          <w:b/>
          <w:bCs/>
        </w:rPr>
      </w:pPr>
    </w:p>
    <w:p/>
    <w:p>
      <w:pPr>
        <w:pStyle w:val="4"/>
        <w:spacing w:line="280" w:lineRule="exact"/>
        <w:jc w:val="left"/>
        <w:rPr>
          <w:rFonts w:ascii="宋体" w:hAnsi="宋体" w:cs="宋体"/>
          <w:b/>
          <w:bCs/>
        </w:rPr>
      </w:pPr>
      <w:r>
        <w:rPr>
          <w:rFonts w:ascii="宋体" w:hAnsi="宋体" w:cs="宋体"/>
          <w:b/>
          <w:bCs/>
        </w:rPr>
        <w:t>2、公司控股股东情况</w:t>
      </w:r>
      <w:bookmarkEnd w:id="137"/>
    </w:p>
    <w:p>
      <w:pPr>
        <w:spacing w:before="40" w:after="40" w:line="240" w:lineRule="exact"/>
        <w:rPr>
          <w:rFonts w:ascii="宋体" w:hAnsi="宋体" w:eastAsia="宋体" w:cs="宋体"/>
          <w:sz w:val="18"/>
          <w:szCs w:val="18"/>
        </w:rPr>
      </w:pPr>
      <w:r>
        <w:rPr>
          <w:rFonts w:ascii="宋体" w:hAnsi="宋体" w:eastAsia="宋体" w:cs="宋体"/>
          <w:sz w:val="18"/>
          <w:szCs w:val="18"/>
        </w:rPr>
        <w:t>控股股东性质：外商控股</w:t>
      </w:r>
    </w:p>
    <w:p>
      <w:pPr>
        <w:spacing w:before="40" w:after="40" w:line="240" w:lineRule="exact"/>
        <w:rPr>
          <w:rFonts w:ascii="宋体" w:hAnsi="宋体" w:eastAsia="宋体" w:cs="宋体"/>
          <w:sz w:val="18"/>
          <w:szCs w:val="18"/>
        </w:rPr>
      </w:pPr>
      <w:r>
        <w:rPr>
          <w:rFonts w:ascii="宋体" w:hAnsi="宋体" w:eastAsia="宋体" w:cs="宋体"/>
          <w:sz w:val="18"/>
          <w:szCs w:val="18"/>
        </w:rPr>
        <w:t>控股股东类型：法人</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127"/>
        <w:gridCol w:w="2126"/>
        <w:gridCol w:w="1843"/>
        <w:gridCol w:w="2126"/>
        <w:gridCol w:w="141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控股股东名称</w:t>
            </w:r>
          </w:p>
        </w:tc>
        <w:tc>
          <w:tcPr>
            <w:tcW w:w="212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法定代表人/单位负责人</w:t>
            </w:r>
          </w:p>
        </w:tc>
        <w:tc>
          <w:tcPr>
            <w:tcW w:w="18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成立日期</w:t>
            </w:r>
          </w:p>
        </w:tc>
        <w:tc>
          <w:tcPr>
            <w:tcW w:w="212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组织机构代码</w:t>
            </w:r>
          </w:p>
        </w:tc>
        <w:tc>
          <w:tcPr>
            <w:tcW w:w="14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主要经营业务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江西三川集团有限公司</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李建林</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1992年05月25日</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9136060015999481XY</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实业投资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控股股东报告期内控股和参股的其他境内外上市公司的股权情况</w:t>
            </w:r>
          </w:p>
        </w:tc>
        <w:tc>
          <w:tcPr>
            <w:tcW w:w="7512" w:type="dxa"/>
            <w:gridSpan w:val="4"/>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无</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控股股东报告期内变更</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spacing w:before="40" w:after="40" w:line="240" w:lineRule="exact"/>
        <w:rPr>
          <w:rFonts w:ascii="宋体" w:hAnsi="宋体" w:eastAsia="宋体" w:cs="宋体"/>
          <w:sz w:val="18"/>
          <w:szCs w:val="18"/>
        </w:rPr>
      </w:pPr>
      <w:r>
        <w:rPr>
          <w:rFonts w:ascii="宋体" w:hAnsi="宋体" w:eastAsia="宋体" w:cs="宋体"/>
          <w:sz w:val="18"/>
          <w:szCs w:val="18"/>
        </w:rPr>
        <w:t>公司报告期控股股东未发生变更。</w:t>
      </w:r>
    </w:p>
    <w:p>
      <w:pPr>
        <w:pStyle w:val="4"/>
        <w:spacing w:line="280" w:lineRule="exact"/>
        <w:jc w:val="left"/>
        <w:rPr>
          <w:rFonts w:ascii="宋体" w:hAnsi="宋体" w:cs="宋体"/>
          <w:b/>
          <w:bCs/>
        </w:rPr>
      </w:pPr>
      <w:bookmarkStart w:id="138" w:name="_Toc989025"/>
      <w:r>
        <w:rPr>
          <w:rFonts w:ascii="宋体" w:hAnsi="宋体" w:cs="宋体"/>
          <w:b/>
          <w:bCs/>
        </w:rPr>
        <w:t>3、公司实际控制人及其一致行动人</w:t>
      </w:r>
      <w:bookmarkEnd w:id="138"/>
    </w:p>
    <w:p>
      <w:pPr>
        <w:spacing w:before="40" w:after="40" w:line="240" w:lineRule="exact"/>
        <w:rPr>
          <w:rFonts w:ascii="宋体" w:hAnsi="宋体" w:eastAsia="宋体" w:cs="宋体"/>
          <w:sz w:val="18"/>
          <w:szCs w:val="18"/>
        </w:rPr>
      </w:pPr>
      <w:r>
        <w:rPr>
          <w:rFonts w:ascii="宋体" w:hAnsi="宋体" w:eastAsia="宋体" w:cs="宋体"/>
          <w:sz w:val="18"/>
          <w:szCs w:val="18"/>
        </w:rPr>
        <w:t>实际控制人性质：境内自然人</w:t>
      </w:r>
    </w:p>
    <w:p>
      <w:pPr>
        <w:spacing w:before="40" w:after="40" w:line="240" w:lineRule="exact"/>
        <w:rPr>
          <w:rFonts w:ascii="宋体" w:hAnsi="宋体" w:eastAsia="宋体" w:cs="宋体"/>
          <w:sz w:val="18"/>
          <w:szCs w:val="18"/>
        </w:rPr>
      </w:pPr>
      <w:r>
        <w:rPr>
          <w:rFonts w:ascii="宋体" w:hAnsi="宋体" w:eastAsia="宋体" w:cs="宋体"/>
          <w:sz w:val="18"/>
          <w:szCs w:val="18"/>
        </w:rPr>
        <w:t>实际控制人类型：自然人</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实际控制人姓名</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与实际控制人关系</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国籍</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是否取得其他国家或地区居留权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李建林</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本人</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中国</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李强祖</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一致行动（含协议、亲属、同一控制）</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中国</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主要职业及职务</w:t>
            </w:r>
          </w:p>
        </w:tc>
        <w:tc>
          <w:tcPr>
            <w:tcW w:w="7229" w:type="dxa"/>
            <w:gridSpan w:val="3"/>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李建林最近五年任三川集团董事长，自2017年4月起兼任本公司董事长；李强祖最近五年任本公司总经理。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过去10年曾控股的境内外上市公司情况</w:t>
            </w:r>
          </w:p>
        </w:tc>
        <w:tc>
          <w:tcPr>
            <w:tcW w:w="7229" w:type="dxa"/>
            <w:gridSpan w:val="3"/>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不适用</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实际控制人报告期内变更</w:t>
      </w:r>
    </w:p>
    <w:p>
      <w:pPr>
        <w:spacing w:before="100" w:after="100" w:line="240" w:lineRule="exact"/>
        <w:rPr>
          <w:rFonts w:ascii="宋体" w:hAnsi="宋体" w:eastAsia="宋体" w:cs="宋体"/>
          <w:sz w:val="18"/>
          <w:szCs w:val="18"/>
        </w:rPr>
      </w:pPr>
      <w:r>
        <w:rPr>
          <w:rFonts w:ascii="宋体" w:hAnsi="宋体" w:eastAsia="宋体" w:cs="宋体"/>
          <w:sz w:val="18"/>
          <w:szCs w:val="18"/>
        </w:rPr>
        <w:t>□适用</w:t>
      </w:r>
      <w:r>
        <w:rPr>
          <w:szCs w:val="24"/>
        </w:rPr>
        <w:t>√</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公司报告期实际控制人未发生变更。</w:t>
      </w:r>
    </w:p>
    <w:p>
      <w:pPr>
        <w:spacing w:before="100" w:after="100" w:line="240" w:lineRule="exact"/>
        <w:rPr>
          <w:rFonts w:ascii="宋体" w:hAnsi="宋体" w:eastAsia="宋体" w:cs="宋体"/>
          <w:sz w:val="18"/>
          <w:szCs w:val="18"/>
        </w:rPr>
      </w:pPr>
      <w:r>
        <w:rPr>
          <w:rFonts w:ascii="宋体" w:hAnsi="宋体" w:eastAsia="宋体" w:cs="宋体"/>
          <w:sz w:val="18"/>
          <w:szCs w:val="18"/>
        </w:rPr>
        <w:t>公司与实际控制人之间的产权及控制关系的方框图</w:t>
      </w:r>
    </w:p>
    <w:p>
      <w:pPr>
        <w:spacing w:before="40" w:after="40" w:line="0" w:lineRule="atLeast"/>
        <w:rPr>
          <w:rFonts w:ascii="Times New Roman" w:hAnsi="Times New Roman" w:eastAsia="宋体" w:cs="Times New Roman"/>
        </w:rPr>
      </w:pPr>
      <w:r>
        <w:rPr>
          <w:rFonts w:ascii="Times New Roman" w:hAnsi="Times New Roman" w:eastAsia="宋体" w:cs="Times New Roman"/>
        </w:rPr>
        <w:drawing>
          <wp:inline distT="0" distB="0" distL="0" distR="0">
            <wp:extent cx="2490470" cy="16097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6" cstate="print"/>
                    <a:stretch>
                      <a:fillRect/>
                    </a:stretch>
                  </pic:blipFill>
                  <pic:spPr>
                    <a:xfrm>
                      <a:off x="0" y="0"/>
                      <a:ext cx="2490788" cy="1609725"/>
                    </a:xfrm>
                    <a:prstGeom prst="rect">
                      <a:avLst/>
                    </a:prstGeom>
                  </pic:spPr>
                </pic:pic>
              </a:graphicData>
            </a:graphic>
          </wp:inline>
        </w:drawing>
      </w:r>
    </w:p>
    <w:p>
      <w:pPr>
        <w:spacing w:before="100" w:after="100" w:line="240" w:lineRule="exact"/>
        <w:rPr>
          <w:rFonts w:ascii="宋体" w:hAnsi="宋体" w:eastAsia="宋体" w:cs="宋体"/>
          <w:sz w:val="18"/>
          <w:szCs w:val="18"/>
        </w:rPr>
      </w:pPr>
      <w:r>
        <w:rPr>
          <w:rFonts w:ascii="宋体" w:hAnsi="宋体" w:eastAsia="宋体" w:cs="宋体"/>
          <w:sz w:val="18"/>
          <w:szCs w:val="18"/>
        </w:rPr>
        <w:t>实际控制人通过信托或其他资产管理方式控制公司</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pStyle w:val="4"/>
        <w:spacing w:line="280" w:lineRule="exact"/>
        <w:jc w:val="left"/>
        <w:rPr>
          <w:rFonts w:ascii="宋体" w:hAnsi="宋体" w:cs="宋体"/>
          <w:b/>
          <w:bCs/>
        </w:rPr>
      </w:pPr>
      <w:bookmarkStart w:id="139" w:name="_Toc989026"/>
      <w:r>
        <w:rPr>
          <w:rFonts w:ascii="宋体" w:hAnsi="宋体" w:cs="宋体"/>
          <w:b/>
          <w:bCs/>
        </w:rPr>
        <w:t>4、公司控股股东或第一大股东及其一致行动人累计质押股份数量占其所持公司股份数量比例达到80%</w:t>
      </w:r>
      <w:bookmarkEnd w:id="139"/>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pStyle w:val="4"/>
        <w:spacing w:line="280" w:lineRule="exact"/>
        <w:jc w:val="left"/>
        <w:rPr>
          <w:rFonts w:ascii="宋体" w:hAnsi="宋体" w:cs="宋体"/>
          <w:b/>
          <w:bCs/>
        </w:rPr>
      </w:pPr>
      <w:bookmarkStart w:id="140" w:name="_Toc989027"/>
      <w:r>
        <w:rPr>
          <w:rFonts w:ascii="宋体" w:hAnsi="宋体" w:cs="宋体"/>
          <w:b/>
          <w:bCs/>
        </w:rPr>
        <w:t>5、其他持股在10%以上的法人股东</w:t>
      </w:r>
      <w:bookmarkEnd w:id="140"/>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pStyle w:val="4"/>
        <w:spacing w:line="280" w:lineRule="exact"/>
        <w:jc w:val="left"/>
        <w:rPr>
          <w:rFonts w:ascii="宋体" w:hAnsi="宋体" w:cs="宋体"/>
          <w:b/>
          <w:bCs/>
        </w:rPr>
      </w:pPr>
      <w:bookmarkStart w:id="141" w:name="_Toc989028"/>
      <w:r>
        <w:rPr>
          <w:rFonts w:ascii="宋体" w:hAnsi="宋体" w:cs="宋体"/>
          <w:b/>
          <w:bCs/>
        </w:rPr>
        <w:t>6、控股股东、实际控制人、重组方及其他承诺主体股份限制减持情况</w:t>
      </w:r>
      <w:bookmarkEnd w:id="141"/>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142" w:name="_Toc989029"/>
      <w:r>
        <w:rPr>
          <w:rFonts w:ascii="宋体" w:hAnsi="宋体" w:eastAsia="宋体" w:cs="宋体"/>
          <w:b/>
          <w:bCs/>
          <w:sz w:val="24"/>
          <w:szCs w:val="24"/>
        </w:rPr>
        <w:t>四、股份回购在报告期的具体实施情况</w:t>
      </w:r>
      <w:bookmarkEnd w:id="142"/>
    </w:p>
    <w:p>
      <w:pPr>
        <w:spacing w:before="100" w:after="100" w:line="240" w:lineRule="exact"/>
        <w:rPr>
          <w:rFonts w:ascii="宋体" w:hAnsi="宋体" w:eastAsia="宋体" w:cs="宋体"/>
          <w:sz w:val="18"/>
          <w:szCs w:val="18"/>
        </w:rPr>
      </w:pPr>
      <w:r>
        <w:rPr>
          <w:rFonts w:ascii="宋体" w:hAnsi="宋体" w:eastAsia="宋体" w:cs="宋体"/>
          <w:sz w:val="18"/>
          <w:szCs w:val="18"/>
        </w:rPr>
        <w:t>股份回购的实施进展情况</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采用集中竞价交易方式减持回购股份的实施进展情况</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r>
        <w:br w:type="page"/>
      </w:r>
    </w:p>
    <w:p>
      <w:pPr>
        <w:pStyle w:val="20"/>
        <w:spacing w:before="340" w:after="330" w:line="773" w:lineRule="exact"/>
        <w:jc w:val="center"/>
        <w:rPr>
          <w:rFonts w:ascii="宋体" w:hAnsi="宋体" w:eastAsia="宋体" w:cs="宋体"/>
          <w:b/>
          <w:bCs/>
          <w:sz w:val="32"/>
          <w:szCs w:val="32"/>
        </w:rPr>
      </w:pPr>
      <w:bookmarkStart w:id="143" w:name="_Toc989030"/>
      <w:r>
        <w:rPr>
          <w:rFonts w:ascii="宋体" w:hAnsi="宋体" w:eastAsia="宋体" w:cs="宋体"/>
          <w:b/>
          <w:bCs/>
          <w:sz w:val="32"/>
          <w:szCs w:val="32"/>
        </w:rPr>
        <w:t>第八节 优先股相关情况</w:t>
      </w:r>
      <w:bookmarkEnd w:id="143"/>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spacing w:before="100" w:after="100" w:line="240" w:lineRule="exact"/>
        <w:rPr>
          <w:rFonts w:ascii="宋体" w:hAnsi="宋体" w:eastAsia="宋体" w:cs="宋体"/>
          <w:sz w:val="18"/>
          <w:szCs w:val="18"/>
        </w:rPr>
      </w:pPr>
      <w:r>
        <w:rPr>
          <w:rFonts w:ascii="宋体" w:hAnsi="宋体" w:eastAsia="宋体" w:cs="宋体"/>
          <w:sz w:val="18"/>
          <w:szCs w:val="18"/>
        </w:rPr>
        <w:t>报告期公司不存在优先股。</w:t>
      </w:r>
    </w:p>
    <w:p>
      <w:r>
        <w:br w:type="page"/>
      </w:r>
    </w:p>
    <w:p>
      <w:pPr>
        <w:pStyle w:val="20"/>
        <w:spacing w:before="340" w:after="330" w:line="773" w:lineRule="exact"/>
        <w:jc w:val="center"/>
        <w:rPr>
          <w:rFonts w:ascii="宋体" w:hAnsi="宋体" w:eastAsia="宋体" w:cs="宋体"/>
          <w:b/>
          <w:bCs/>
          <w:sz w:val="32"/>
          <w:szCs w:val="32"/>
        </w:rPr>
      </w:pPr>
      <w:bookmarkStart w:id="144" w:name="_Toc989031"/>
      <w:r>
        <w:rPr>
          <w:rFonts w:ascii="宋体" w:hAnsi="宋体" w:eastAsia="宋体" w:cs="宋体"/>
          <w:b/>
          <w:bCs/>
          <w:sz w:val="32"/>
          <w:szCs w:val="32"/>
        </w:rPr>
        <w:t>第九节 债券相关情况</w:t>
      </w:r>
      <w:bookmarkEnd w:id="144"/>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r>
        <w:br w:type="page"/>
      </w:r>
    </w:p>
    <w:p>
      <w:pPr>
        <w:pStyle w:val="20"/>
        <w:spacing w:before="340" w:after="330" w:line="773" w:lineRule="exact"/>
        <w:jc w:val="center"/>
        <w:rPr>
          <w:rFonts w:ascii="宋体" w:hAnsi="宋体" w:eastAsia="宋体" w:cs="宋体"/>
          <w:b/>
          <w:bCs/>
          <w:sz w:val="32"/>
          <w:szCs w:val="32"/>
        </w:rPr>
      </w:pPr>
      <w:bookmarkStart w:id="145" w:name="_Toc989032"/>
      <w:r>
        <w:rPr>
          <w:rFonts w:ascii="宋体" w:hAnsi="宋体" w:eastAsia="宋体" w:cs="宋体"/>
          <w:b/>
          <w:bCs/>
          <w:sz w:val="32"/>
          <w:szCs w:val="32"/>
        </w:rPr>
        <w:t>第十节 财务报告</w:t>
      </w:r>
    </w:p>
    <w:p>
      <w:pPr>
        <w:pStyle w:val="3"/>
        <w:spacing w:before="300" w:after="300" w:line="320" w:lineRule="exact"/>
        <w:rPr>
          <w:rFonts w:ascii="宋体" w:hAnsi="宋体" w:eastAsia="宋体" w:cs="宋体"/>
          <w:b/>
          <w:bCs/>
          <w:sz w:val="24"/>
          <w:szCs w:val="24"/>
        </w:rPr>
      </w:pPr>
      <w:bookmarkStart w:id="146" w:name="_Toc989033"/>
      <w:r>
        <w:rPr>
          <w:rFonts w:ascii="宋体" w:hAnsi="宋体" w:eastAsia="宋体" w:cs="宋体"/>
          <w:b/>
          <w:bCs/>
          <w:sz w:val="24"/>
          <w:szCs w:val="24"/>
        </w:rPr>
        <w:t>一、审计报告</w:t>
      </w:r>
      <w:bookmarkEnd w:id="146"/>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审计意见类型</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标准的无保留意见</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审计报告签署日期</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2023年03月30日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审计机构名称</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北京兴华会计师事务所(特殊普通合伙)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审计报告文号</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highlight w:val="yellow"/>
              </w:rPr>
            </w:pPr>
            <w:r>
              <w:rPr>
                <w:rFonts w:ascii="宋体" w:hAnsi="宋体" w:eastAsia="宋体" w:cs="宋体"/>
                <w:sz w:val="18"/>
                <w:szCs w:val="18"/>
              </w:rPr>
              <w:t>[2023]京会兴审字第01000045号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注册会计师姓名</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谭哲 郭成</w:t>
            </w:r>
          </w:p>
        </w:tc>
      </w:tr>
    </w:tbl>
    <w:p>
      <w:pPr>
        <w:spacing w:before="100" w:after="100" w:line="240" w:lineRule="exact"/>
        <w:jc w:val="center"/>
        <w:rPr>
          <w:rFonts w:ascii="宋体" w:hAnsi="宋体" w:eastAsia="宋体" w:cs="宋体"/>
          <w:sz w:val="18"/>
          <w:szCs w:val="18"/>
        </w:rPr>
      </w:pPr>
      <w:r>
        <w:rPr>
          <w:rFonts w:ascii="宋体" w:hAnsi="宋体" w:eastAsia="宋体" w:cs="宋体"/>
          <w:sz w:val="18"/>
          <w:szCs w:val="18"/>
        </w:rPr>
        <w:t>审计报告正文</w:t>
      </w:r>
    </w:p>
    <w:p>
      <w:pPr>
        <w:pStyle w:val="11"/>
        <w:spacing w:before="240" w:beforeAutospacing="0" w:after="240" w:afterAutospacing="0" w:line="560" w:lineRule="atLeast"/>
        <w:rPr>
          <w:rFonts w:cs="Times New Roman"/>
          <w:sz w:val="18"/>
          <w:szCs w:val="18"/>
        </w:rPr>
      </w:pPr>
      <w:r>
        <w:rPr>
          <w:rStyle w:val="16"/>
          <w:rFonts w:hint="eastAsia" w:cs="Times New Roman"/>
          <w:sz w:val="18"/>
          <w:szCs w:val="18"/>
        </w:rPr>
        <w:t>三川智慧科技股份有限公司全体股东：</w:t>
      </w:r>
    </w:p>
    <w:p>
      <w:pPr>
        <w:pStyle w:val="11"/>
        <w:spacing w:before="0" w:beforeAutospacing="0" w:after="0" w:afterAutospacing="0"/>
        <w:ind w:firstLine="360" w:firstLineChars="200"/>
        <w:rPr>
          <w:rFonts w:cs="Times New Roman"/>
          <w:sz w:val="18"/>
          <w:szCs w:val="18"/>
        </w:rPr>
      </w:pPr>
      <w:r>
        <w:rPr>
          <w:rStyle w:val="16"/>
          <w:rFonts w:hint="eastAsia" w:cs="Times New Roman"/>
          <w:sz w:val="18"/>
          <w:szCs w:val="18"/>
        </w:rPr>
        <w:t xml:space="preserve">（一）审计意见 </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我们审计了三川智慧科技股份有限公司（以下简称三川智慧公司）财务报表，包括2022年12月31日的合并及母公司资产负债表，2022年度的合并及母公司利润表、合并及母公司现金流量表、合并及母公司股东权益变动表以及相关财务报表附注。</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 xml:space="preserve">我们认为，后附的财务报表在所有重大方面按照企业会计准则的规定编制，公允反映了三川智慧公司2022年12月31日的合并及母公司财务状况以及2022年度的合并及母公司经营成果和现金流量。 </w:t>
      </w:r>
    </w:p>
    <w:p>
      <w:pPr>
        <w:pStyle w:val="11"/>
        <w:spacing w:before="0" w:beforeAutospacing="0" w:after="0" w:afterAutospacing="0"/>
        <w:ind w:firstLine="360" w:firstLineChars="200"/>
        <w:rPr>
          <w:rStyle w:val="16"/>
        </w:rPr>
      </w:pPr>
      <w:r>
        <w:rPr>
          <w:rStyle w:val="16"/>
          <w:rFonts w:hint="eastAsia" w:cs="Times New Roman"/>
          <w:sz w:val="18"/>
          <w:szCs w:val="18"/>
        </w:rPr>
        <w:t xml:space="preserve">（二）形成审计意见的基础 </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 xml:space="preserve">我们按照中国注册会计师审计准则的规定执行了审计工作。审计报告的“注册会计师对财务报表审计的责任”部分进一步阐述了我们在这些准则下的责任。按照中国注册会计师职业道德守则，我们独立于三川智慧公司，并履行了职业道德方面的其他责任。我们相信，我们获取的审计证据是充分、适当的，为发表审计意见提供了基础。 </w:t>
      </w:r>
    </w:p>
    <w:p>
      <w:pPr>
        <w:pStyle w:val="11"/>
        <w:spacing w:before="0" w:beforeAutospacing="0" w:after="0" w:afterAutospacing="0"/>
        <w:ind w:firstLine="360" w:firstLineChars="200"/>
        <w:rPr>
          <w:rStyle w:val="16"/>
        </w:rPr>
      </w:pPr>
      <w:r>
        <w:rPr>
          <w:rStyle w:val="16"/>
          <w:rFonts w:hint="eastAsia" w:cs="Times New Roman"/>
          <w:sz w:val="18"/>
          <w:szCs w:val="18"/>
        </w:rPr>
        <w:t xml:space="preserve">（三）关键审计事项 </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关键审计事项是我们根据职业判断，认为对本期财务报表审计最为重要的事项。这些事项的应对以对财务报表整体进行审计并形成审计意见为背景，我们不对这些事项单独发表意见。</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我们在本期财务报表审计中识别出的关键审计事项如下：</w:t>
      </w:r>
    </w:p>
    <w:tbl>
      <w:tblPr>
        <w:tblStyle w:val="13"/>
        <w:tblW w:w="5000" w:type="pct"/>
        <w:jc w:val="center"/>
        <w:tblLayout w:type="autofit"/>
        <w:tblCellMar>
          <w:top w:w="0" w:type="dxa"/>
          <w:left w:w="0" w:type="dxa"/>
          <w:bottom w:w="0" w:type="dxa"/>
          <w:right w:w="0" w:type="dxa"/>
        </w:tblCellMar>
      </w:tblPr>
      <w:tblGrid>
        <w:gridCol w:w="4030"/>
        <w:gridCol w:w="5823"/>
      </w:tblGrid>
      <w:tr>
        <w:tblPrEx>
          <w:tblCellMar>
            <w:top w:w="0" w:type="dxa"/>
            <w:left w:w="0" w:type="dxa"/>
            <w:bottom w:w="0" w:type="dxa"/>
            <w:right w:w="0" w:type="dxa"/>
          </w:tblCellMar>
        </w:tblPrEx>
        <w:trPr>
          <w:trHeight w:val="567" w:hRule="atLeast"/>
          <w:jc w:val="center"/>
        </w:trPr>
        <w:tc>
          <w:tcPr>
            <w:tcW w:w="5000" w:type="pct"/>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textAlignment w:val="baseline"/>
              <w:rPr>
                <w:rFonts w:cs="Times New Roman"/>
                <w:sz w:val="18"/>
                <w:szCs w:val="18"/>
              </w:rPr>
            </w:pPr>
            <w:r>
              <w:rPr>
                <w:rFonts w:hint="eastAsia" w:cs="Times New Roman"/>
                <w:sz w:val="18"/>
                <w:szCs w:val="18"/>
              </w:rPr>
              <w:t>1、收入确认</w:t>
            </w:r>
          </w:p>
        </w:tc>
      </w:tr>
      <w:tr>
        <w:tblPrEx>
          <w:tblCellMar>
            <w:top w:w="0" w:type="dxa"/>
            <w:left w:w="0" w:type="dxa"/>
            <w:bottom w:w="0" w:type="dxa"/>
            <w:right w:w="0" w:type="dxa"/>
          </w:tblCellMar>
        </w:tblPrEx>
        <w:trPr>
          <w:trHeight w:val="567" w:hRule="atLeast"/>
          <w:jc w:val="center"/>
        </w:trPr>
        <w:tc>
          <w:tcPr>
            <w:tcW w:w="5000" w:type="pct"/>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textAlignment w:val="baseline"/>
              <w:rPr>
                <w:rFonts w:cs="Times New Roman"/>
                <w:sz w:val="18"/>
                <w:szCs w:val="18"/>
              </w:rPr>
            </w:pPr>
            <w:r>
              <w:rPr>
                <w:rFonts w:hint="eastAsia" w:cs="Times New Roman"/>
                <w:sz w:val="18"/>
                <w:szCs w:val="18"/>
              </w:rPr>
              <w:t>参阅财务报表附注三、（三十一）与附注五、（三十六）所述。</w:t>
            </w:r>
          </w:p>
        </w:tc>
      </w:tr>
      <w:tr>
        <w:tblPrEx>
          <w:tblCellMar>
            <w:top w:w="0" w:type="dxa"/>
            <w:left w:w="0" w:type="dxa"/>
            <w:bottom w:w="0" w:type="dxa"/>
            <w:right w:w="0" w:type="dxa"/>
          </w:tblCellMar>
        </w:tblPrEx>
        <w:trPr>
          <w:trHeight w:val="567" w:hRule="atLeast"/>
          <w:jc w:val="center"/>
        </w:trPr>
        <w:tc>
          <w:tcPr>
            <w:tcW w:w="2045"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center"/>
              <w:textAlignment w:val="baseline"/>
              <w:rPr>
                <w:rFonts w:cs="Times New Roman"/>
                <w:sz w:val="18"/>
                <w:szCs w:val="18"/>
              </w:rPr>
            </w:pPr>
            <w:r>
              <w:rPr>
                <w:rStyle w:val="16"/>
                <w:rFonts w:hint="eastAsia" w:cs="Times New Roman"/>
                <w:sz w:val="18"/>
                <w:szCs w:val="18"/>
              </w:rPr>
              <w:t>关键审计事项</w:t>
            </w:r>
          </w:p>
        </w:tc>
        <w:tc>
          <w:tcPr>
            <w:tcW w:w="2955"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center"/>
              <w:textAlignment w:val="baseline"/>
              <w:rPr>
                <w:rFonts w:cs="Times New Roman"/>
                <w:sz w:val="18"/>
                <w:szCs w:val="18"/>
              </w:rPr>
            </w:pPr>
            <w:r>
              <w:rPr>
                <w:rStyle w:val="16"/>
                <w:rFonts w:hint="eastAsia" w:cs="Times New Roman"/>
                <w:sz w:val="18"/>
                <w:szCs w:val="18"/>
              </w:rPr>
              <w:t>审计中的应对</w:t>
            </w:r>
          </w:p>
        </w:tc>
      </w:tr>
      <w:tr>
        <w:tblPrEx>
          <w:tblCellMar>
            <w:top w:w="0" w:type="dxa"/>
            <w:left w:w="0" w:type="dxa"/>
            <w:bottom w:w="0" w:type="dxa"/>
            <w:right w:w="0" w:type="dxa"/>
          </w:tblCellMar>
        </w:tblPrEx>
        <w:trPr>
          <w:trHeight w:val="567" w:hRule="atLeast"/>
          <w:jc w:val="center"/>
        </w:trPr>
        <w:tc>
          <w:tcPr>
            <w:tcW w:w="2045"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textAlignment w:val="baseline"/>
              <w:rPr>
                <w:rFonts w:cs="Times New Roman"/>
                <w:sz w:val="18"/>
                <w:szCs w:val="18"/>
              </w:rPr>
            </w:pPr>
            <w:r>
              <w:rPr>
                <w:rFonts w:hint="eastAsia" w:cs="Times New Roman"/>
                <w:sz w:val="18"/>
                <w:szCs w:val="18"/>
              </w:rPr>
              <w:t>三川智慧公司主要生产和销售水表等产品，</w:t>
            </w:r>
            <w:r>
              <w:rPr>
                <w:rFonts w:cs="Times New Roman"/>
                <w:sz w:val="18"/>
                <w:szCs w:val="18"/>
              </w:rPr>
              <w:t>2022</w:t>
            </w:r>
            <w:r>
              <w:rPr>
                <w:rFonts w:hint="eastAsia" w:cs="Times New Roman"/>
                <w:sz w:val="18"/>
                <w:szCs w:val="18"/>
              </w:rPr>
              <w:t>年度公司营业收入为</w:t>
            </w:r>
            <w:r>
              <w:rPr>
                <w:rFonts w:cs="Times New Roman"/>
                <w:sz w:val="18"/>
                <w:szCs w:val="18"/>
              </w:rPr>
              <w:t>1,331,679,724.58</w:t>
            </w:r>
            <w:r>
              <w:rPr>
                <w:rFonts w:hint="eastAsia" w:cs="Times New Roman"/>
                <w:sz w:val="18"/>
                <w:szCs w:val="18"/>
              </w:rPr>
              <w:t>元。由于收入为三川智慧公司利润关键指标，管理层在收入确认方面可能存在重大错报风险，因此我们将收入确认识别为关键审计事项。</w:t>
            </w:r>
          </w:p>
        </w:tc>
        <w:tc>
          <w:tcPr>
            <w:tcW w:w="2955"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textAlignment w:val="baseline"/>
              <w:rPr>
                <w:rFonts w:cs="Times New Roman"/>
                <w:sz w:val="18"/>
                <w:szCs w:val="18"/>
              </w:rPr>
            </w:pPr>
            <w:r>
              <w:rPr>
                <w:rFonts w:hint="eastAsia" w:cs="Times New Roman"/>
                <w:sz w:val="18"/>
                <w:szCs w:val="18"/>
              </w:rPr>
              <w:t>（1）了解和评价管理层与收入确认相关的关键内部控制设计和运行的有效性；</w:t>
            </w:r>
          </w:p>
          <w:p>
            <w:pPr>
              <w:pStyle w:val="11"/>
              <w:spacing w:before="0" w:beforeAutospacing="0" w:after="0" w:afterAutospacing="0"/>
              <w:textAlignment w:val="baseline"/>
              <w:rPr>
                <w:rFonts w:cs="Times New Roman"/>
                <w:sz w:val="18"/>
                <w:szCs w:val="18"/>
              </w:rPr>
            </w:pPr>
            <w:r>
              <w:rPr>
                <w:rFonts w:hint="eastAsia" w:cs="Times New Roman"/>
                <w:sz w:val="18"/>
                <w:szCs w:val="18"/>
              </w:rPr>
              <w:t>（2）选取销售合同样本，对照三川智慧公司业务模式及合同条款等具体情况，结合企业会计准则相关规定，检查收入确认政策是否恰当；</w:t>
            </w:r>
          </w:p>
          <w:p>
            <w:pPr>
              <w:pStyle w:val="11"/>
              <w:spacing w:before="0" w:beforeAutospacing="0" w:after="0" w:afterAutospacing="0"/>
              <w:textAlignment w:val="baseline"/>
              <w:rPr>
                <w:rFonts w:cs="Times New Roman"/>
                <w:sz w:val="18"/>
                <w:szCs w:val="18"/>
              </w:rPr>
            </w:pPr>
            <w:r>
              <w:rPr>
                <w:rFonts w:hint="eastAsia" w:cs="Times New Roman"/>
                <w:sz w:val="18"/>
                <w:szCs w:val="18"/>
              </w:rPr>
              <w:t>（3）通过查询重要客户的工商资料，询问公司相关人员，以确认客户与公司是否存在关联关系。对存在的关联交易，检查交易价格是否公允，相关信息披露是否充分；</w:t>
            </w:r>
          </w:p>
          <w:p>
            <w:pPr>
              <w:pStyle w:val="11"/>
              <w:spacing w:before="0" w:beforeAutospacing="0" w:after="0" w:afterAutospacing="0"/>
              <w:textAlignment w:val="baseline"/>
              <w:rPr>
                <w:rFonts w:cs="Times New Roman"/>
                <w:sz w:val="18"/>
                <w:szCs w:val="18"/>
              </w:rPr>
            </w:pPr>
            <w:r>
              <w:rPr>
                <w:rFonts w:hint="eastAsia" w:cs="Times New Roman"/>
                <w:sz w:val="18"/>
                <w:szCs w:val="18"/>
              </w:rPr>
              <w:t xml:space="preserve">（4）获取本年度销售清单，对本年记录的收入交易选取样本，检查核对销售合同、发票、出库单据、签收或验收单据、运输单据、报关单、记账凭证、回款单据； </w:t>
            </w:r>
          </w:p>
          <w:p>
            <w:pPr>
              <w:pStyle w:val="11"/>
              <w:spacing w:before="0" w:beforeAutospacing="0" w:after="0" w:afterAutospacing="0"/>
              <w:textAlignment w:val="baseline"/>
              <w:rPr>
                <w:rFonts w:cs="Times New Roman"/>
                <w:sz w:val="18"/>
                <w:szCs w:val="18"/>
              </w:rPr>
            </w:pPr>
            <w:r>
              <w:rPr>
                <w:rFonts w:hint="eastAsia" w:cs="Times New Roman"/>
                <w:sz w:val="18"/>
                <w:szCs w:val="18"/>
              </w:rPr>
              <w:t>（5）结合应收账款函证程序，并抽查收入确认的相关资料，检查已确认收入的真实性；</w:t>
            </w:r>
          </w:p>
          <w:p>
            <w:pPr>
              <w:pStyle w:val="11"/>
              <w:spacing w:before="0" w:beforeAutospacing="0" w:after="0" w:afterAutospacing="0"/>
              <w:textAlignment w:val="baseline"/>
              <w:rPr>
                <w:rFonts w:cs="Times New Roman"/>
                <w:sz w:val="18"/>
                <w:szCs w:val="18"/>
              </w:rPr>
            </w:pPr>
            <w:r>
              <w:rPr>
                <w:rFonts w:hint="eastAsia" w:cs="Times New Roman"/>
                <w:sz w:val="18"/>
                <w:szCs w:val="18"/>
              </w:rPr>
              <w:t>（6）对收入和成本执行分析性程序，包括：本期各月份销售收入、成本、毛利率波动分析，本期销售收入、成本、毛利率与上期比较分析等；</w:t>
            </w:r>
          </w:p>
          <w:p>
            <w:pPr>
              <w:pStyle w:val="11"/>
              <w:spacing w:before="0" w:beforeAutospacing="0" w:after="0" w:afterAutospacing="0"/>
              <w:textAlignment w:val="baseline"/>
              <w:rPr>
                <w:rFonts w:cs="Times New Roman"/>
                <w:sz w:val="18"/>
                <w:szCs w:val="18"/>
              </w:rPr>
            </w:pPr>
            <w:r>
              <w:rPr>
                <w:rFonts w:hint="eastAsia" w:cs="Times New Roman"/>
                <w:sz w:val="18"/>
                <w:szCs w:val="18"/>
              </w:rPr>
              <w:t>（7）针对资产负债表日前后确认的销售收入执行截止性测试，核对产成品的发出到客户验收的单证相关时间节点，以评估销售收入是否在恰当的期间确认。</w:t>
            </w:r>
          </w:p>
        </w:tc>
      </w:tr>
    </w:tbl>
    <w:p>
      <w:pPr>
        <w:pStyle w:val="11"/>
        <w:spacing w:before="0" w:beforeAutospacing="0" w:after="0" w:afterAutospacing="0" w:line="560" w:lineRule="atLeast"/>
        <w:ind w:firstLine="470"/>
        <w:jc w:val="both"/>
        <w:rPr>
          <w:rFonts w:cs="Times New Roman"/>
          <w:sz w:val="18"/>
          <w:szCs w:val="18"/>
        </w:rPr>
      </w:pPr>
      <w:r>
        <w:rPr>
          <w:rFonts w:hint="eastAsia" w:cs="Times New Roman"/>
          <w:color w:val="FF0000"/>
          <w:sz w:val="18"/>
          <w:szCs w:val="18"/>
        </w:rPr>
        <w:t> </w:t>
      </w:r>
    </w:p>
    <w:tbl>
      <w:tblPr>
        <w:tblStyle w:val="13"/>
        <w:tblW w:w="5000" w:type="pct"/>
        <w:jc w:val="center"/>
        <w:tblLayout w:type="autofit"/>
        <w:tblCellMar>
          <w:top w:w="0" w:type="dxa"/>
          <w:left w:w="0" w:type="dxa"/>
          <w:bottom w:w="0" w:type="dxa"/>
          <w:right w:w="0" w:type="dxa"/>
        </w:tblCellMar>
      </w:tblPr>
      <w:tblGrid>
        <w:gridCol w:w="4030"/>
        <w:gridCol w:w="5823"/>
      </w:tblGrid>
      <w:tr>
        <w:tblPrEx>
          <w:tblCellMar>
            <w:top w:w="0" w:type="dxa"/>
            <w:left w:w="0" w:type="dxa"/>
            <w:bottom w:w="0" w:type="dxa"/>
            <w:right w:w="0" w:type="dxa"/>
          </w:tblCellMar>
        </w:tblPrEx>
        <w:trPr>
          <w:trHeight w:val="567" w:hRule="atLeast"/>
          <w:jc w:val="center"/>
        </w:trPr>
        <w:tc>
          <w:tcPr>
            <w:tcW w:w="5000" w:type="pct"/>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textAlignment w:val="baseline"/>
              <w:rPr>
                <w:rFonts w:cs="Times New Roman"/>
                <w:sz w:val="18"/>
                <w:szCs w:val="18"/>
              </w:rPr>
            </w:pPr>
            <w:r>
              <w:rPr>
                <w:rFonts w:hint="eastAsia" w:cs="Times New Roman"/>
                <w:sz w:val="18"/>
                <w:szCs w:val="18"/>
              </w:rPr>
              <w:t>2、应收账款坏账准备计提</w:t>
            </w:r>
          </w:p>
        </w:tc>
      </w:tr>
      <w:tr>
        <w:tblPrEx>
          <w:tblCellMar>
            <w:top w:w="0" w:type="dxa"/>
            <w:left w:w="0" w:type="dxa"/>
            <w:bottom w:w="0" w:type="dxa"/>
            <w:right w:w="0" w:type="dxa"/>
          </w:tblCellMar>
        </w:tblPrEx>
        <w:trPr>
          <w:trHeight w:val="567" w:hRule="atLeast"/>
          <w:jc w:val="center"/>
        </w:trPr>
        <w:tc>
          <w:tcPr>
            <w:tcW w:w="5000" w:type="pct"/>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textAlignment w:val="baseline"/>
              <w:rPr>
                <w:rFonts w:cs="Times New Roman"/>
                <w:sz w:val="18"/>
                <w:szCs w:val="18"/>
              </w:rPr>
            </w:pPr>
            <w:r>
              <w:rPr>
                <w:rFonts w:hint="eastAsia" w:cs="Times New Roman"/>
                <w:sz w:val="18"/>
                <w:szCs w:val="18"/>
              </w:rPr>
              <w:t>参阅财务报表附注三、（十一）与附注五、（三）所述。</w:t>
            </w:r>
          </w:p>
        </w:tc>
      </w:tr>
      <w:tr>
        <w:tblPrEx>
          <w:tblCellMar>
            <w:top w:w="0" w:type="dxa"/>
            <w:left w:w="0" w:type="dxa"/>
            <w:bottom w:w="0" w:type="dxa"/>
            <w:right w:w="0" w:type="dxa"/>
          </w:tblCellMar>
        </w:tblPrEx>
        <w:trPr>
          <w:trHeight w:val="567" w:hRule="atLeast"/>
          <w:jc w:val="center"/>
        </w:trPr>
        <w:tc>
          <w:tcPr>
            <w:tcW w:w="2045"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center"/>
              <w:textAlignment w:val="baseline"/>
              <w:rPr>
                <w:rFonts w:cs="Times New Roman"/>
                <w:sz w:val="18"/>
                <w:szCs w:val="18"/>
              </w:rPr>
            </w:pPr>
            <w:r>
              <w:rPr>
                <w:rStyle w:val="16"/>
                <w:rFonts w:hint="eastAsia" w:cs="Times New Roman"/>
                <w:sz w:val="18"/>
                <w:szCs w:val="18"/>
              </w:rPr>
              <w:t>关键审计事项</w:t>
            </w:r>
          </w:p>
        </w:tc>
        <w:tc>
          <w:tcPr>
            <w:tcW w:w="2955"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jc w:val="center"/>
              <w:textAlignment w:val="baseline"/>
              <w:rPr>
                <w:rFonts w:cs="Times New Roman"/>
                <w:sz w:val="18"/>
                <w:szCs w:val="18"/>
              </w:rPr>
            </w:pPr>
            <w:r>
              <w:rPr>
                <w:rStyle w:val="16"/>
                <w:rFonts w:hint="eastAsia" w:cs="Times New Roman"/>
                <w:sz w:val="18"/>
                <w:szCs w:val="18"/>
              </w:rPr>
              <w:t>审计中的应对</w:t>
            </w:r>
          </w:p>
        </w:tc>
      </w:tr>
      <w:tr>
        <w:tblPrEx>
          <w:tblCellMar>
            <w:top w:w="0" w:type="dxa"/>
            <w:left w:w="0" w:type="dxa"/>
            <w:bottom w:w="0" w:type="dxa"/>
            <w:right w:w="0" w:type="dxa"/>
          </w:tblCellMar>
        </w:tblPrEx>
        <w:trPr>
          <w:trHeight w:val="567" w:hRule="atLeast"/>
          <w:jc w:val="center"/>
        </w:trPr>
        <w:tc>
          <w:tcPr>
            <w:tcW w:w="2045"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textAlignment w:val="baseline"/>
              <w:rPr>
                <w:rFonts w:cs="Times New Roman"/>
                <w:sz w:val="18"/>
                <w:szCs w:val="18"/>
              </w:rPr>
            </w:pPr>
            <w:r>
              <w:rPr>
                <w:rFonts w:hint="eastAsia" w:cs="Times New Roman"/>
                <w:sz w:val="18"/>
                <w:szCs w:val="18"/>
              </w:rPr>
              <w:t>截至</w:t>
            </w:r>
            <w:r>
              <w:rPr>
                <w:rFonts w:cs="Times New Roman"/>
                <w:sz w:val="18"/>
                <w:szCs w:val="18"/>
              </w:rPr>
              <w:t>2022</w:t>
            </w:r>
            <w:r>
              <w:rPr>
                <w:rFonts w:hint="eastAsia" w:cs="Times New Roman"/>
                <w:sz w:val="18"/>
                <w:szCs w:val="18"/>
              </w:rPr>
              <w:t>年</w:t>
            </w:r>
            <w:r>
              <w:rPr>
                <w:rFonts w:cs="Times New Roman"/>
                <w:sz w:val="18"/>
                <w:szCs w:val="18"/>
              </w:rPr>
              <w:t>12</w:t>
            </w:r>
            <w:r>
              <w:rPr>
                <w:rFonts w:hint="eastAsia" w:cs="Times New Roman"/>
                <w:sz w:val="18"/>
                <w:szCs w:val="18"/>
              </w:rPr>
              <w:t>月</w:t>
            </w:r>
            <w:r>
              <w:rPr>
                <w:rFonts w:cs="Times New Roman"/>
                <w:sz w:val="18"/>
                <w:szCs w:val="18"/>
              </w:rPr>
              <w:t>31</w:t>
            </w:r>
            <w:r>
              <w:rPr>
                <w:rFonts w:hint="eastAsia" w:cs="Times New Roman"/>
                <w:sz w:val="18"/>
                <w:szCs w:val="18"/>
              </w:rPr>
              <w:t>日，三川智慧公司应收账款账面余额为</w:t>
            </w:r>
            <w:bookmarkStart w:id="147" w:name="OLE_LINK5"/>
            <w:bookmarkEnd w:id="147"/>
            <w:r>
              <w:rPr>
                <w:rFonts w:cs="Times New Roman"/>
                <w:sz w:val="18"/>
                <w:szCs w:val="18"/>
              </w:rPr>
              <w:t>738,704,547.97</w:t>
            </w:r>
            <w:r>
              <w:rPr>
                <w:rFonts w:hint="eastAsia" w:cs="Times New Roman"/>
                <w:sz w:val="18"/>
                <w:szCs w:val="18"/>
              </w:rPr>
              <w:t>元，相应计提坏账准备</w:t>
            </w:r>
            <w:r>
              <w:rPr>
                <w:rFonts w:cs="Times New Roman"/>
                <w:sz w:val="18"/>
                <w:szCs w:val="18"/>
              </w:rPr>
              <w:t>147,485,348.08</w:t>
            </w:r>
            <w:r>
              <w:rPr>
                <w:rFonts w:hint="eastAsia" w:cs="Times New Roman"/>
                <w:sz w:val="18"/>
                <w:szCs w:val="18"/>
              </w:rPr>
              <w:t>元。三川智慧公司管理层根据各项应收账款的信用风险特征，以应收账款组合为基础计量预期信用损失，参照历史信用损失经验，并根据前瞻性信息进行估计和调整，编制应收账款账龄与预期信用损失率对照表，据此确定应计提的坏账准备。由于上述事项涉及管理层运用重大会计估计和管理层的判断，且管理层的估计和判断具有不确定性，我们将应收账款坏账准备的计提确定为关键审计事项。</w:t>
            </w:r>
          </w:p>
        </w:tc>
        <w:tc>
          <w:tcPr>
            <w:tcW w:w="2955"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11"/>
              <w:spacing w:before="0" w:beforeAutospacing="0" w:after="0" w:afterAutospacing="0"/>
              <w:textAlignment w:val="baseline"/>
              <w:rPr>
                <w:rFonts w:cs="Times New Roman"/>
                <w:sz w:val="18"/>
                <w:szCs w:val="18"/>
              </w:rPr>
            </w:pPr>
            <w:r>
              <w:rPr>
                <w:rFonts w:hint="eastAsia" w:cs="Times New Roman"/>
                <w:sz w:val="18"/>
                <w:szCs w:val="18"/>
              </w:rPr>
              <w:t>（1）对公司信用政策及应收账款管理相关内部控制的设计和运行有效性进行评估和测试；</w:t>
            </w:r>
          </w:p>
          <w:p>
            <w:pPr>
              <w:pStyle w:val="11"/>
              <w:spacing w:before="0" w:beforeAutospacing="0" w:after="0" w:afterAutospacing="0"/>
              <w:textAlignment w:val="baseline"/>
              <w:rPr>
                <w:rFonts w:cs="Times New Roman"/>
                <w:sz w:val="18"/>
                <w:szCs w:val="18"/>
              </w:rPr>
            </w:pPr>
            <w:r>
              <w:rPr>
                <w:rFonts w:hint="eastAsia" w:cs="Times New Roman"/>
                <w:sz w:val="18"/>
                <w:szCs w:val="18"/>
              </w:rPr>
              <w:t>（2）基于历史损失经验并结合当前状况，复核公司确定逾期信用损失率合理性，包括对迁徙率、历史损失率重新计算，参考历史经验及前瞻性信息，对逾期信用损失率合理性进行评估；</w:t>
            </w:r>
          </w:p>
          <w:p>
            <w:pPr>
              <w:pStyle w:val="11"/>
              <w:spacing w:before="0" w:beforeAutospacing="0" w:after="0" w:afterAutospacing="0"/>
              <w:textAlignment w:val="baseline"/>
              <w:rPr>
                <w:rFonts w:cs="Times New Roman"/>
                <w:sz w:val="18"/>
                <w:szCs w:val="18"/>
              </w:rPr>
            </w:pPr>
            <w:r>
              <w:rPr>
                <w:rFonts w:hint="eastAsia" w:cs="Times New Roman"/>
                <w:sz w:val="18"/>
                <w:szCs w:val="18"/>
              </w:rPr>
              <w:t>（3）通过分析公司应收账款的账龄和客户信誉情况，并执行应收账款函证程序及检查期后回款情况，综合评价应收账款坏账准备计提的合理性；</w:t>
            </w:r>
          </w:p>
          <w:p>
            <w:pPr>
              <w:pStyle w:val="11"/>
              <w:spacing w:before="0" w:beforeAutospacing="0" w:after="0" w:afterAutospacing="0"/>
              <w:textAlignment w:val="baseline"/>
              <w:rPr>
                <w:rFonts w:cs="Times New Roman"/>
                <w:sz w:val="18"/>
                <w:szCs w:val="18"/>
              </w:rPr>
            </w:pPr>
            <w:r>
              <w:rPr>
                <w:rFonts w:hint="eastAsia" w:cs="Times New Roman"/>
                <w:sz w:val="18"/>
                <w:szCs w:val="18"/>
              </w:rPr>
              <w:t>（4）分析计算公司资产负债表日坏账准备金额与应收账款余额之间的比率，比较前期坏账准备计提数和实际发生数，分析应收账款坏账准备计提是否充分；</w:t>
            </w:r>
          </w:p>
          <w:p>
            <w:pPr>
              <w:pStyle w:val="11"/>
              <w:spacing w:before="0" w:beforeAutospacing="0" w:after="0" w:afterAutospacing="0"/>
              <w:textAlignment w:val="baseline"/>
              <w:rPr>
                <w:rFonts w:cs="Times New Roman"/>
                <w:sz w:val="18"/>
                <w:szCs w:val="18"/>
              </w:rPr>
            </w:pPr>
            <w:r>
              <w:rPr>
                <w:rFonts w:hint="eastAsia" w:cs="Times New Roman"/>
                <w:sz w:val="18"/>
                <w:szCs w:val="18"/>
              </w:rPr>
              <w:t>（5）获取公司坏账准备计提表，检查计提方法是否按照坏账准备计提政策执行；重新计算坏账准备计提金额是否准确。</w:t>
            </w:r>
          </w:p>
        </w:tc>
      </w:tr>
    </w:tbl>
    <w:p>
      <w:pPr>
        <w:pStyle w:val="11"/>
        <w:spacing w:before="0" w:beforeAutospacing="0" w:after="0" w:afterAutospacing="0"/>
        <w:ind w:firstLine="360" w:firstLineChars="200"/>
        <w:rPr>
          <w:rStyle w:val="16"/>
        </w:rPr>
      </w:pPr>
      <w:r>
        <w:rPr>
          <w:rStyle w:val="16"/>
          <w:rFonts w:hint="eastAsia" w:cs="Times New Roman"/>
          <w:sz w:val="18"/>
          <w:szCs w:val="18"/>
        </w:rPr>
        <w:t xml:space="preserve">（四）其他信息 </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三川智慧公司管理层（以下简称管理层）对其他信息负责。其他信息包括三川智慧公司 2022年年度报告中涵盖的信息，但不包括财务报表和我们的审计报告。</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我们对财务报表发表的审计意见不涵盖其他信息，我们也不对其他信息发表任何形式的鉴证结论。</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结合我们对财务报表的审计，我们的责任是阅读其他信息，在此过程中，考虑其他信息是否与财务报表或我们在审计过程中了解到的情况存在重大不一致或者似乎存在重大错报。</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基于我们已执行的工作，如果我们确定其他信息存在重大错报，我们应当报告该事实。在这方面，我们无任何事项需要报告。</w:t>
      </w:r>
    </w:p>
    <w:p>
      <w:pPr>
        <w:pStyle w:val="11"/>
        <w:spacing w:before="0" w:beforeAutospacing="0" w:after="0" w:afterAutospacing="0"/>
        <w:ind w:firstLine="360" w:firstLineChars="200"/>
        <w:rPr>
          <w:rStyle w:val="16"/>
        </w:rPr>
      </w:pPr>
      <w:r>
        <w:rPr>
          <w:rStyle w:val="16"/>
          <w:rFonts w:hint="eastAsia" w:cs="Times New Roman"/>
          <w:sz w:val="18"/>
          <w:szCs w:val="18"/>
        </w:rPr>
        <w:t xml:space="preserve">（五）管理层和治理层对财务报表的责任  </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 xml:space="preserve">三川智慧公司管理层（以下简称管理层）负责按照企业会计准则的规定编制财务报表，使其实现公允反映，并设计、执行和维护必要的内部控制，以使财务报表不存在由于舞弊或错误导致的重大错报。  </w:t>
      </w:r>
    </w:p>
    <w:p>
      <w:pPr>
        <w:spacing w:before="40" w:after="40"/>
        <w:ind w:firstLine="360" w:firstLineChars="200"/>
        <w:rPr>
          <w:rFonts w:ascii="宋体" w:hAnsi="宋体" w:eastAsia="宋体" w:cs="Times New Roman"/>
          <w:sz w:val="18"/>
          <w:szCs w:val="18"/>
        </w:rPr>
      </w:pPr>
      <w:r>
        <w:rPr>
          <w:rFonts w:hint="eastAsia" w:ascii="宋体" w:hAnsi="宋体" w:eastAsia="宋体" w:cs="宋体"/>
          <w:sz w:val="18"/>
          <w:szCs w:val="18"/>
        </w:rPr>
        <w:t>在编制财务报表时，管理层负责评估三川智慧公司的持续经营能力，披露与持续经营相关的事项（如适用），并运用持续经营假设，除非管理层计划清算三川智慧公司、终止运营或别无其他现实的选择。</w:t>
      </w:r>
      <w:r>
        <w:rPr>
          <w:rFonts w:hint="eastAsia" w:ascii="宋体" w:hAnsi="宋体" w:eastAsia="宋体" w:cs="Times New Roman"/>
          <w:sz w:val="18"/>
          <w:szCs w:val="18"/>
        </w:rPr>
        <w:t xml:space="preserve"> </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 xml:space="preserve">治理层负责监督三川智慧公司的财务报告过程。 </w:t>
      </w:r>
    </w:p>
    <w:p>
      <w:pPr>
        <w:pStyle w:val="11"/>
        <w:spacing w:before="0" w:beforeAutospacing="0" w:after="0" w:afterAutospacing="0"/>
        <w:ind w:firstLine="360" w:firstLineChars="200"/>
        <w:rPr>
          <w:rStyle w:val="16"/>
        </w:rPr>
      </w:pPr>
      <w:r>
        <w:rPr>
          <w:rStyle w:val="16"/>
          <w:rFonts w:hint="eastAsia" w:cs="Times New Roman"/>
          <w:sz w:val="18"/>
          <w:szCs w:val="18"/>
        </w:rPr>
        <w:t xml:space="preserve">（六）注册会计师对财务报表审计的责任 </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 xml:space="preserve">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 </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 xml:space="preserve">在按照审计准则执行审计工作的过程中，我们运用职业判断，并保持职业怀疑。同时，我们也执行以下工作： </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    </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 xml:space="preserve">2.了解与审计相关的内部控制，以设计恰当的审计程序，但目的并非对内部控制的有效性发表意见。 </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 xml:space="preserve">3.评价管理层选用会计政策的恰当性和作出会计估计及相关披露的合理性。 </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 xml:space="preserve">4.对管理层使用持续经营假设的恰当性得出结论。同时，根据获取的审计证据，就可能导致对三川智慧公司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三川智慧公司不能持续经营。  </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 xml:space="preserve">5.评价财务报表的总体列报、结构和内容，并评价财务报表是否公允反映相关交易和事项。 </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6.就三川智慧公司中实体或业务活动的财务信息获取充分、适当的审计证据，以对财务报表发表审计意见。我们负责指导、监督和执行集团审计，并对审计意见承担全部责任。</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 xml:space="preserve">我们与治理层就计划的审计范围、时间安排和重大审计发现等事项进行沟通，包括沟通我们在审计中识别出的值得关注的内部控制缺陷。 </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 xml:space="preserve">我们还就已遵守与独立性相关的职业道德要求向治理层提供声明，并与治理层沟通可能被合理认为影响我们独立性的所有关系和其他事项，以及相关的防范措施（如适用）。 </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pPr>
        <w:pStyle w:val="11"/>
        <w:spacing w:before="0" w:beforeAutospacing="0" w:after="0" w:afterAutospacing="0" w:line="480" w:lineRule="auto"/>
        <w:jc w:val="both"/>
        <w:rPr>
          <w:rFonts w:cs="Times New Roman"/>
          <w:sz w:val="18"/>
          <w:szCs w:val="18"/>
        </w:rPr>
      </w:pPr>
      <w:r>
        <w:rPr>
          <w:rFonts w:cs="Times New Roman"/>
          <w:sz w:val="18"/>
          <w:szCs w:val="18"/>
        </w:rPr>
        <w:t xml:space="preserve"> </w:t>
      </w:r>
      <w:r>
        <w:rPr>
          <w:rFonts w:hint="eastAsia" w:cs="Times New Roman"/>
          <w:sz w:val="18"/>
          <w:szCs w:val="18"/>
        </w:rPr>
        <w:t> </w:t>
      </w:r>
    </w:p>
    <w:p>
      <w:pPr>
        <w:pStyle w:val="11"/>
        <w:spacing w:before="0" w:beforeAutospacing="0" w:after="0" w:afterAutospacing="0" w:line="480" w:lineRule="auto"/>
        <w:jc w:val="both"/>
        <w:rPr>
          <w:rFonts w:cs="Times New Roman"/>
          <w:sz w:val="18"/>
          <w:szCs w:val="18"/>
        </w:rPr>
      </w:pPr>
      <w:r>
        <w:rPr>
          <w:rFonts w:hint="eastAsia" w:cs="Times New Roman"/>
          <w:sz w:val="18"/>
          <w:szCs w:val="18"/>
        </w:rPr>
        <w:t> </w:t>
      </w:r>
    </w:p>
    <w:p>
      <w:pPr>
        <w:pStyle w:val="11"/>
        <w:spacing w:before="0" w:beforeAutospacing="0" w:after="0" w:afterAutospacing="0" w:line="480" w:lineRule="auto"/>
        <w:jc w:val="both"/>
        <w:rPr>
          <w:sz w:val="18"/>
          <w:szCs w:val="18"/>
        </w:rPr>
      </w:pPr>
      <w:r>
        <w:rPr>
          <w:rFonts w:hint="eastAsia"/>
          <w:sz w:val="18"/>
          <w:szCs w:val="18"/>
        </w:rPr>
        <w:t> </w:t>
      </w:r>
    </w:p>
    <w:p>
      <w:pPr>
        <w:pStyle w:val="11"/>
        <w:spacing w:before="0" w:beforeAutospacing="0" w:after="0" w:afterAutospacing="0" w:line="276" w:lineRule="auto"/>
        <w:jc w:val="both"/>
        <w:rPr>
          <w:sz w:val="18"/>
          <w:szCs w:val="18"/>
        </w:rPr>
      </w:pPr>
      <w:r>
        <w:rPr>
          <w:rFonts w:hint="eastAsia"/>
          <w:sz w:val="18"/>
          <w:szCs w:val="18"/>
        </w:rPr>
        <w:t>北京兴华会计师事务所           </w:t>
      </w:r>
      <w:r>
        <w:rPr>
          <w:sz w:val="18"/>
          <w:szCs w:val="18"/>
        </w:rPr>
        <w:t xml:space="preserve">      </w:t>
      </w:r>
      <w:r>
        <w:rPr>
          <w:rFonts w:hint="eastAsia"/>
          <w:sz w:val="18"/>
          <w:szCs w:val="18"/>
        </w:rPr>
        <w:t> 中国注册会计师：</w:t>
      </w:r>
      <w:r>
        <w:rPr>
          <w:rFonts w:hint="eastAsia"/>
          <w:color w:val="FFFFFF"/>
          <w:sz w:val="18"/>
          <w:szCs w:val="18"/>
        </w:rPr>
        <w:t>1</w:t>
      </w:r>
    </w:p>
    <w:p>
      <w:pPr>
        <w:pStyle w:val="11"/>
        <w:spacing w:before="0" w:beforeAutospacing="0" w:after="0" w:afterAutospacing="0" w:line="276" w:lineRule="auto"/>
        <w:ind w:firstLine="240"/>
        <w:jc w:val="both"/>
        <w:rPr>
          <w:sz w:val="18"/>
          <w:szCs w:val="18"/>
        </w:rPr>
      </w:pPr>
      <w:r>
        <w:rPr>
          <w:rFonts w:hint="eastAsia"/>
          <w:sz w:val="18"/>
          <w:szCs w:val="18"/>
        </w:rPr>
        <w:t>（特殊普通合伙）</w:t>
      </w:r>
      <w:r>
        <w:rPr>
          <w:rFonts w:hint="eastAsia"/>
          <w:color w:val="FFFFFF"/>
          <w:sz w:val="18"/>
          <w:szCs w:val="18"/>
        </w:rPr>
        <w:t>（盖章）</w:t>
      </w:r>
      <w:r>
        <w:rPr>
          <w:rFonts w:hint="eastAsia"/>
          <w:sz w:val="18"/>
          <w:szCs w:val="18"/>
        </w:rPr>
        <w:t>     </w:t>
      </w:r>
      <w:r>
        <w:rPr>
          <w:sz w:val="18"/>
          <w:szCs w:val="18"/>
        </w:rPr>
        <w:t xml:space="preserve">            </w:t>
      </w:r>
      <w:r>
        <w:rPr>
          <w:rFonts w:hint="eastAsia"/>
          <w:sz w:val="18"/>
          <w:szCs w:val="18"/>
        </w:rPr>
        <w:t xml:space="preserve"> （项目合伙人）  谭哲 </w:t>
      </w:r>
    </w:p>
    <w:p>
      <w:pPr>
        <w:pStyle w:val="11"/>
        <w:spacing w:before="0" w:beforeAutospacing="0" w:after="0" w:afterAutospacing="0" w:line="480" w:lineRule="auto"/>
        <w:jc w:val="both"/>
        <w:rPr>
          <w:sz w:val="18"/>
          <w:szCs w:val="18"/>
        </w:rPr>
      </w:pPr>
      <w:r>
        <w:rPr>
          <w:rFonts w:hint="eastAsia"/>
          <w:sz w:val="18"/>
          <w:szCs w:val="18"/>
        </w:rPr>
        <w:t> </w:t>
      </w:r>
    </w:p>
    <w:p>
      <w:pPr>
        <w:pStyle w:val="11"/>
        <w:spacing w:before="0" w:beforeAutospacing="0" w:after="0" w:afterAutospacing="0" w:line="480" w:lineRule="auto"/>
        <w:jc w:val="both"/>
        <w:rPr>
          <w:sz w:val="18"/>
          <w:szCs w:val="18"/>
        </w:rPr>
      </w:pPr>
      <w:r>
        <w:rPr>
          <w:rFonts w:hint="eastAsia"/>
          <w:sz w:val="18"/>
          <w:szCs w:val="18"/>
        </w:rPr>
        <w:t> </w:t>
      </w:r>
    </w:p>
    <w:p>
      <w:pPr>
        <w:pStyle w:val="11"/>
        <w:spacing w:before="0" w:beforeAutospacing="0" w:after="0" w:afterAutospacing="0" w:line="276" w:lineRule="auto"/>
        <w:jc w:val="both"/>
        <w:rPr>
          <w:color w:val="FFFFFF"/>
          <w:sz w:val="18"/>
          <w:szCs w:val="18"/>
        </w:rPr>
      </w:pPr>
      <w:r>
        <w:rPr>
          <w:rFonts w:hint="eastAsia"/>
          <w:sz w:val="18"/>
          <w:szCs w:val="18"/>
        </w:rPr>
        <w:t>中国</w:t>
      </w:r>
      <w:r>
        <w:rPr>
          <w:rStyle w:val="16"/>
          <w:rFonts w:hint="eastAsia"/>
          <w:sz w:val="18"/>
          <w:szCs w:val="18"/>
        </w:rPr>
        <w:t>·</w:t>
      </w:r>
      <w:r>
        <w:rPr>
          <w:rFonts w:hint="eastAsia"/>
          <w:sz w:val="18"/>
          <w:szCs w:val="18"/>
        </w:rPr>
        <w:t>北京                      中国注册会计师：</w:t>
      </w:r>
      <w:r>
        <w:rPr>
          <w:rFonts w:hint="eastAsia"/>
          <w:color w:val="FFFFFF"/>
          <w:sz w:val="18"/>
          <w:szCs w:val="18"/>
        </w:rPr>
        <w:t>2</w:t>
      </w:r>
    </w:p>
    <w:p>
      <w:pPr>
        <w:pStyle w:val="11"/>
        <w:spacing w:before="0" w:beforeAutospacing="0" w:after="0" w:afterAutospacing="0" w:line="276" w:lineRule="auto"/>
        <w:jc w:val="both"/>
        <w:rPr>
          <w:sz w:val="18"/>
          <w:szCs w:val="18"/>
        </w:rPr>
      </w:pPr>
      <w:r>
        <w:rPr>
          <w:rFonts w:hint="eastAsia"/>
          <w:sz w:val="18"/>
          <w:szCs w:val="18"/>
        </w:rPr>
        <w:t>二○二三年</w:t>
      </w:r>
      <w:r>
        <w:rPr>
          <w:rFonts w:hint="eastAsia"/>
          <w:color w:val="000000"/>
          <w:sz w:val="18"/>
          <w:szCs w:val="18"/>
        </w:rPr>
        <w:t>三月三十日</w:t>
      </w:r>
      <w:r>
        <w:rPr>
          <w:rFonts w:hint="eastAsia"/>
          <w:sz w:val="18"/>
          <w:szCs w:val="18"/>
        </w:rPr>
        <w:t>                         郭成</w:t>
      </w:r>
    </w:p>
    <w:p>
      <w:pPr>
        <w:pStyle w:val="11"/>
        <w:spacing w:before="0" w:beforeAutospacing="0" w:after="0" w:afterAutospacing="0" w:line="276" w:lineRule="auto"/>
        <w:jc w:val="both"/>
        <w:rPr>
          <w:sz w:val="18"/>
          <w:szCs w:val="18"/>
        </w:rPr>
      </w:pPr>
    </w:p>
    <w:p>
      <w:pPr>
        <w:pStyle w:val="3"/>
        <w:spacing w:before="300" w:after="300" w:line="320" w:lineRule="exact"/>
        <w:rPr>
          <w:rFonts w:ascii="宋体" w:hAnsi="宋体" w:eastAsia="宋体" w:cs="宋体"/>
          <w:b/>
          <w:bCs/>
          <w:sz w:val="24"/>
          <w:szCs w:val="24"/>
        </w:rPr>
      </w:pPr>
      <w:bookmarkStart w:id="148" w:name="_Toc989034"/>
      <w:r>
        <w:rPr>
          <w:rFonts w:ascii="宋体" w:hAnsi="宋体" w:eastAsia="宋体" w:cs="宋体"/>
          <w:b/>
          <w:bCs/>
          <w:sz w:val="24"/>
          <w:szCs w:val="24"/>
        </w:rPr>
        <w:t>二、财务报表</w:t>
      </w:r>
      <w:bookmarkEnd w:id="148"/>
    </w:p>
    <w:p>
      <w:pPr>
        <w:spacing w:before="40" w:after="40" w:line="240" w:lineRule="exact"/>
        <w:rPr>
          <w:rFonts w:ascii="宋体" w:hAnsi="宋体" w:eastAsia="宋体" w:cs="宋体"/>
          <w:sz w:val="18"/>
          <w:szCs w:val="18"/>
        </w:rPr>
      </w:pPr>
      <w:r>
        <w:rPr>
          <w:rFonts w:ascii="宋体" w:hAnsi="宋体" w:eastAsia="宋体" w:cs="宋体"/>
          <w:sz w:val="18"/>
          <w:szCs w:val="18"/>
        </w:rPr>
        <w:t>财务附注中报表的单位为：元</w:t>
      </w:r>
    </w:p>
    <w:p>
      <w:pPr>
        <w:pStyle w:val="4"/>
        <w:spacing w:line="280" w:lineRule="exact"/>
        <w:jc w:val="left"/>
        <w:rPr>
          <w:rFonts w:ascii="宋体" w:hAnsi="宋体" w:cs="宋体"/>
          <w:b/>
          <w:bCs/>
        </w:rPr>
      </w:pPr>
      <w:bookmarkStart w:id="149" w:name="_Toc989035"/>
      <w:r>
        <w:rPr>
          <w:rFonts w:ascii="宋体" w:hAnsi="宋体" w:cs="宋体"/>
          <w:b/>
          <w:bCs/>
        </w:rPr>
        <w:t>1、合并资产负债表</w:t>
      </w:r>
      <w:bookmarkEnd w:id="149"/>
    </w:p>
    <w:p>
      <w:pPr>
        <w:spacing w:line="240" w:lineRule="exact"/>
        <w:rPr>
          <w:rFonts w:ascii="宋体" w:hAnsi="宋体" w:eastAsia="宋体" w:cs="宋体"/>
          <w:sz w:val="18"/>
          <w:szCs w:val="18"/>
        </w:rPr>
      </w:pPr>
      <w:r>
        <w:rPr>
          <w:rFonts w:ascii="宋体" w:hAnsi="宋体" w:eastAsia="宋体" w:cs="宋体"/>
          <w:sz w:val="18"/>
          <w:szCs w:val="18"/>
        </w:rPr>
        <w:t>编制单位：三川智慧科技股份有限公司</w:t>
      </w:r>
    </w:p>
    <w:p>
      <w:pPr>
        <w:spacing w:line="240" w:lineRule="exact"/>
        <w:jc w:val="center"/>
        <w:rPr>
          <w:rFonts w:ascii="宋体" w:hAnsi="宋体" w:eastAsia="宋体" w:cs="宋体"/>
          <w:sz w:val="18"/>
          <w:szCs w:val="18"/>
        </w:rPr>
      </w:pPr>
      <w:r>
        <w:rPr>
          <w:rFonts w:ascii="宋体" w:hAnsi="宋体" w:eastAsia="宋体" w:cs="宋体"/>
          <w:sz w:val="18"/>
          <w:szCs w:val="18"/>
        </w:rPr>
        <w:t>2022年12月31日</w:t>
      </w:r>
    </w:p>
    <w:p>
      <w:pPr>
        <w:spacing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2022年12月31日</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2022年1月1日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流动资产：</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货币资金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512,363,248.10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438,093,241.28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结算备付金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拆出资金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交易性金融资产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衍生金融资产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应收票据</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20,745,060.87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19,013,292.19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应收账款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591,219,199.89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598,030,215.47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应收款项融资</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预付款项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95,565,792.86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9,398,687.03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应收保费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应收分保账款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应收分保合同准备金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其他应收款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29,790,419.78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22,708,412.98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其中：应收利息</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900" w:firstLineChars="500"/>
              <w:rPr>
                <w:rFonts w:ascii="宋体" w:hAnsi="宋体" w:eastAsia="宋体" w:cs="宋体"/>
                <w:sz w:val="18"/>
                <w:szCs w:val="18"/>
              </w:rPr>
            </w:pPr>
            <w:r>
              <w:rPr>
                <w:rFonts w:ascii="宋体" w:hAnsi="宋体" w:eastAsia="宋体" w:cs="宋体"/>
                <w:sz w:val="18"/>
                <w:szCs w:val="18"/>
              </w:rPr>
              <w:t>应收股利</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买入返售金融资产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存货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508,595,262.14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241,147,942.24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合同资产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持有待售资产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一年内到期的非流动资产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其他流动资产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122,611,258.31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273,214,368.46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流动资产合计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1,880,890,241.95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1,601,606,159.65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非流动资产：</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发放贷款和垫款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债权投资</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其他债权投资</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长期应收款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长期股权投资</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491,823,184.45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454,087,978.04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其他权益工具投资</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其他非流动金融资产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41,019,613.00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39,107,404.30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投资性房地产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15,854,162.92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21,896,876.73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固定资产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273,310,291.64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238,954,012.84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在建工程</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31,372,823.82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12,755,871.64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生产性生物资产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油气资产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使用权资产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19,120.87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76,483.27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无形资产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69,455,079.41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67,121,065.84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开发支出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商誉</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172,707,747.08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5,398,496.96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长期待摊费用</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1,335,149.15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900,692.89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递延所得税资产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25,844,689.58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22,754,470.36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其他非流动资产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非流动资产合计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1,122,741,861.92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863,053,352.87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资产总计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3,003,632,103.87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2,464,659,512.52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流动负债：</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短期借款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38,023,069.45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向中央银行借款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拆入资金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交易性金融负债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衍生金融负债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应付票据</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应付账款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199,211,428.81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147,871,074.97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预收款项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合同负债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92,364,566.18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30,844,928.70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卖出回购金融资产款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吸收存款及同业存放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代理买卖证券款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代理承销证券款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应付职工薪酬</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38,554,241.96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30,135,663.49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应交税费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24,655,896.63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24,777,116.21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其他应付款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22,691,295.52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23,044,353.58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其中：应付利息</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900" w:firstLineChars="500"/>
              <w:rPr>
                <w:rFonts w:ascii="宋体" w:hAnsi="宋体" w:eastAsia="宋体" w:cs="宋体"/>
                <w:sz w:val="18"/>
                <w:szCs w:val="18"/>
              </w:rPr>
            </w:pPr>
            <w:r>
              <w:rPr>
                <w:rFonts w:ascii="宋体" w:hAnsi="宋体" w:eastAsia="宋体" w:cs="宋体"/>
                <w:sz w:val="18"/>
                <w:szCs w:val="18"/>
              </w:rPr>
              <w:t>应付股利</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应付手续费及佣金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应付分保账款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持有待售负债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一年内到期的非流动负债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68,508.82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其他流动负债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10,707,602.96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3,459,245.26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流动负债合计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429,108,101.51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260,200,891.03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非流动负债：</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保险合同准备金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长期借款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应付债券</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其中：优先股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900" w:firstLineChars="500"/>
              <w:rPr>
                <w:rFonts w:ascii="宋体" w:hAnsi="宋体" w:eastAsia="宋体" w:cs="宋体"/>
                <w:sz w:val="18"/>
                <w:szCs w:val="18"/>
              </w:rPr>
            </w:pPr>
            <w:r>
              <w:rPr>
                <w:rFonts w:ascii="宋体" w:hAnsi="宋体" w:eastAsia="宋体" w:cs="宋体"/>
                <w:sz w:val="18"/>
                <w:szCs w:val="18"/>
              </w:rPr>
              <w:t>永续债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租赁负债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长期应付款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102,311,666.66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长期应付职工薪酬</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预计负债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递延收益</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20,344,262.70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22,813,210.70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递延所得税负债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4,691,034.08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2,116,110.64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其他非流动负债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4,129,200.00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4,129,200.00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非流动负债合计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139,976,163.44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29,958,521.34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负债合计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569,084,264.95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290,159,412.37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所有者权益：</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股本</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其他权益工具</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360" w:firstLineChars="200"/>
              <w:rPr>
                <w:rFonts w:ascii="宋体" w:hAnsi="宋体" w:eastAsia="宋体" w:cs="宋体"/>
                <w:sz w:val="18"/>
                <w:szCs w:val="18"/>
              </w:rPr>
            </w:pPr>
            <w:r>
              <w:rPr>
                <w:rFonts w:ascii="宋体" w:hAnsi="宋体" w:eastAsia="宋体" w:cs="宋体"/>
                <w:sz w:val="18"/>
                <w:szCs w:val="18"/>
              </w:rPr>
              <w:t>其中：优先股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900" w:firstLineChars="500"/>
              <w:rPr>
                <w:rFonts w:ascii="宋体" w:hAnsi="宋体" w:eastAsia="宋体" w:cs="宋体"/>
                <w:sz w:val="18"/>
                <w:szCs w:val="18"/>
              </w:rPr>
            </w:pPr>
            <w:r>
              <w:rPr>
                <w:rFonts w:ascii="宋体" w:hAnsi="宋体" w:eastAsia="宋体" w:cs="宋体"/>
                <w:sz w:val="18"/>
                <w:szCs w:val="18"/>
              </w:rPr>
              <w:t>永续债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资本公积</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35,687,232.06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34,201,365.84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减：库存股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其他综合收益</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专项储备</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14,404,830.68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4,751,806.92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盈余公积</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166,619,125.48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148,069,158.75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一般风险准备</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未分配利润</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985,065,570.80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820,901,820.99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归属于母公司所有者权益合计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2,241,810,021.02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2,047,957,414.50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少数股东权益</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192,737,817.90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126,542,685.65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所有者权益合计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2,434,547,838.92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2,174,500,100.15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负债和所有者权益总计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3,003,632,103.87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2,464,659,512.52</w:t>
            </w:r>
          </w:p>
        </w:tc>
      </w:tr>
    </w:tbl>
    <w:p>
      <w:pPr>
        <w:spacing w:line="240" w:lineRule="exact"/>
        <w:rPr>
          <w:rFonts w:ascii="宋体" w:hAnsi="宋体" w:eastAsia="宋体" w:cs="宋体"/>
          <w:sz w:val="18"/>
          <w:szCs w:val="18"/>
        </w:rPr>
      </w:pPr>
      <w:r>
        <w:rPr>
          <w:rFonts w:ascii="宋体" w:hAnsi="宋体" w:eastAsia="宋体" w:cs="宋体"/>
          <w:sz w:val="18"/>
          <w:szCs w:val="18"/>
        </w:rPr>
        <w:t>法定代表人：李建林    主管会计工作负责人：童为民      会计机构负责人：刘建华</w:t>
      </w:r>
    </w:p>
    <w:p>
      <w:pPr>
        <w:pStyle w:val="4"/>
        <w:spacing w:line="320" w:lineRule="exact"/>
        <w:jc w:val="left"/>
        <w:rPr>
          <w:rFonts w:ascii="宋体" w:hAnsi="宋体" w:cs="宋体"/>
          <w:b/>
          <w:bCs/>
          <w:sz w:val="24"/>
          <w:szCs w:val="24"/>
        </w:rPr>
      </w:pPr>
      <w:bookmarkStart w:id="150" w:name="_Toc989036"/>
      <w:r>
        <w:rPr>
          <w:rFonts w:ascii="宋体" w:hAnsi="宋体" w:cs="宋体"/>
          <w:b/>
          <w:bCs/>
          <w:sz w:val="24"/>
          <w:szCs w:val="24"/>
        </w:rPr>
        <w:t>2、母公司资产负债表</w:t>
      </w:r>
      <w:bookmarkEnd w:id="150"/>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2022年12月31日</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2022年1月1日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流动资产：</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货币资金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323,266,371.33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319,254,462.07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交易性金融资产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衍生金融资产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应收票据</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17,667,593.92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14,909,239.90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应收账款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504,213,632.65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553,837,791.89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应收款项融资</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预付款项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3,786,727.02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5,845,742.06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其他应收款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29,304,414.03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24,762,135.92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其中：应收利息</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900" w:firstLineChars="500"/>
              <w:rPr>
                <w:rFonts w:ascii="宋体" w:hAnsi="宋体" w:eastAsia="宋体" w:cs="宋体"/>
                <w:sz w:val="18"/>
                <w:szCs w:val="18"/>
              </w:rPr>
            </w:pPr>
            <w:r>
              <w:rPr>
                <w:rFonts w:ascii="宋体" w:hAnsi="宋体" w:eastAsia="宋体" w:cs="宋体"/>
                <w:sz w:val="18"/>
                <w:szCs w:val="18"/>
              </w:rPr>
              <w:t>应收股利</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存货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249,890,602.77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174,361,939.14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合同资产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持有待售资产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一年内到期的非流动资产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其他流动资产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113,183,466.62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263,800,416.44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流动资产合计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1,241,312,808.34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1,356,771,727.42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非流动资产：</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债权投资</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其他债权投资</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长期应收款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长期股权投资</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897,763,414.73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615,632,508.32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其他权益工具投资</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其他非流动金融资产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31,019,613.00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29,107,404.30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投资性房地产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16,620,561.09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22,955,293.94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固定资产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127,680,186.46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141,477,873.58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在建工程</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18,623,514.42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生产性生物资产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油气资产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使用权资产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无形资产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33,077,729.85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40,370,339.26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开发支出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商誉</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长期待摊费用</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139,509.71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375,114.11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递延所得税资产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21,172,431.50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18,485,322.19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其他非流动资产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非流动资产合计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1,146,096,960.76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868,403,855.70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资产总计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2,387,409,769.10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2,225,175,583.12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流动负债：</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短期借款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交易性金融负债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衍生金融负债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应付票据</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应付账款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119,403,218.71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113,841,023.63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预收款项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合同负债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15,823,655.86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9,297,197.81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应付职工薪酬</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23,274,246.31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17,926,902.37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应交税费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9,074,715.33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16,913,077.98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其他应付款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6,920,972.06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8,619,413.61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其中：应付利息</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900" w:firstLineChars="500"/>
              <w:rPr>
                <w:rFonts w:ascii="宋体" w:hAnsi="宋体" w:eastAsia="宋体" w:cs="宋体"/>
                <w:sz w:val="18"/>
                <w:szCs w:val="18"/>
              </w:rPr>
            </w:pPr>
            <w:r>
              <w:rPr>
                <w:rFonts w:ascii="宋体" w:hAnsi="宋体" w:eastAsia="宋体" w:cs="宋体"/>
                <w:sz w:val="18"/>
                <w:szCs w:val="18"/>
              </w:rPr>
              <w:t>应付股利</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持有待售负债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一年内到期的非流动负债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其他流动负债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2,046,152.61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1,207,505.57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流动负债合计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176,542,960.88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167,805,120.97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非流动负债：</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长期借款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应付债券</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其中：优先股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900" w:firstLineChars="500"/>
              <w:rPr>
                <w:rFonts w:ascii="宋体" w:hAnsi="宋体" w:eastAsia="宋体" w:cs="宋体"/>
                <w:sz w:val="18"/>
                <w:szCs w:val="18"/>
              </w:rPr>
            </w:pPr>
            <w:r>
              <w:rPr>
                <w:rFonts w:ascii="宋体" w:hAnsi="宋体" w:eastAsia="宋体" w:cs="宋体"/>
                <w:sz w:val="18"/>
                <w:szCs w:val="18"/>
              </w:rPr>
              <w:t>永续债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租赁负债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长期应付款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长期应付职工薪酬</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预计负债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递延收益</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18,898,499.94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21,312,499.94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递延所得税负债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2,402,941.94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2,116,110.64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其他非流动负债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4,129,200.00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4,129,200.00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非流动负债合计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25,430,641.88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27,557,810.58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负债合计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201,973,602.76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195,362,931.55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所有者权益：</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股本</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其他权益工具</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360" w:firstLineChars="200"/>
              <w:rPr>
                <w:rFonts w:ascii="宋体" w:hAnsi="宋体" w:eastAsia="宋体" w:cs="宋体"/>
                <w:sz w:val="18"/>
                <w:szCs w:val="18"/>
              </w:rPr>
            </w:pPr>
            <w:r>
              <w:rPr>
                <w:rFonts w:ascii="宋体" w:hAnsi="宋体" w:eastAsia="宋体" w:cs="宋体"/>
                <w:sz w:val="18"/>
                <w:szCs w:val="18"/>
              </w:rPr>
              <w:t>其中：优先股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900" w:firstLineChars="500"/>
              <w:rPr>
                <w:rFonts w:ascii="宋体" w:hAnsi="宋体" w:eastAsia="宋体" w:cs="宋体"/>
                <w:sz w:val="18"/>
                <w:szCs w:val="18"/>
              </w:rPr>
            </w:pPr>
            <w:r>
              <w:rPr>
                <w:rFonts w:ascii="宋体" w:hAnsi="宋体" w:eastAsia="宋体" w:cs="宋体"/>
                <w:sz w:val="18"/>
                <w:szCs w:val="18"/>
              </w:rPr>
              <w:t>永续债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资本公积</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176,174,967.78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175,086,914.74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减：库存股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其他综合收益</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专项储备</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4,988,599.24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4,751,806.92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盈余公积</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166,067,418.48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147,517,451.75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未分配利润</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798,171,918.84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662,423,216.16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所有者权益合计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2,185,436,166.34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2,029,812,651.57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负债和所有者权益总计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2,387,409,769.10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2,225,175,583.12</w:t>
            </w:r>
          </w:p>
        </w:tc>
      </w:tr>
    </w:tbl>
    <w:p>
      <w:pPr>
        <w:pStyle w:val="4"/>
        <w:spacing w:line="280" w:lineRule="exact"/>
        <w:jc w:val="left"/>
        <w:rPr>
          <w:rFonts w:ascii="宋体" w:hAnsi="宋体" w:cs="宋体"/>
          <w:b/>
          <w:bCs/>
        </w:rPr>
      </w:pPr>
      <w:bookmarkStart w:id="151" w:name="_Toc989037"/>
      <w:r>
        <w:rPr>
          <w:rFonts w:ascii="宋体" w:hAnsi="宋体" w:cs="宋体"/>
          <w:b/>
          <w:bCs/>
        </w:rPr>
        <w:t>3、合并利润表</w:t>
      </w:r>
      <w:bookmarkEnd w:id="151"/>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253"/>
        <w:gridCol w:w="2693"/>
        <w:gridCol w:w="269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69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2022年度</w:t>
            </w:r>
          </w:p>
        </w:tc>
        <w:tc>
          <w:tcPr>
            <w:tcW w:w="269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2021年度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一、营业总收入</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1,331,679,724.58</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936,939,518.55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其中：营业收入</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1,331,679,724.58</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936,939,518.55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利息收入</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已赚保费</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手续费及佣金收入</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二、营业总成本</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1,225,731,524.88</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830,786,378.15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其中：营业成本</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1,004,187,688.23</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626,871,999.63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利息支出</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手续费及佣金支出</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退保金</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赔付支出净额</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提取保险责任合同准备金净额</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保单红利支出</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分保费用</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税金及附加</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10,323,848.41</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9,714,115.86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销售费用</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99,437,656.01</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89,739,544.51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管理费用</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61,871,497.71</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53,043,326.95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研发费用</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54,101,259.82</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53,546,119.13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财务费用</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-4,190,425.30</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-2,128,727.93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900" w:firstLineChars="500"/>
              <w:rPr>
                <w:rFonts w:ascii="宋体" w:hAnsi="宋体" w:eastAsia="宋体" w:cs="宋体"/>
                <w:sz w:val="18"/>
                <w:szCs w:val="18"/>
              </w:rPr>
            </w:pPr>
            <w:r>
              <w:rPr>
                <w:rFonts w:ascii="宋体" w:hAnsi="宋体" w:eastAsia="宋体" w:cs="宋体"/>
                <w:sz w:val="18"/>
                <w:szCs w:val="18"/>
              </w:rPr>
              <w:t>其中：利息费用</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2,800,107.79</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57,347.50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440" w:firstLineChars="800"/>
              <w:rPr>
                <w:rFonts w:ascii="宋体" w:hAnsi="宋体" w:eastAsia="宋体" w:cs="宋体"/>
                <w:sz w:val="18"/>
                <w:szCs w:val="18"/>
              </w:rPr>
            </w:pPr>
            <w:r>
              <w:rPr>
                <w:rFonts w:ascii="宋体" w:hAnsi="宋体" w:eastAsia="宋体" w:cs="宋体"/>
                <w:sz w:val="18"/>
                <w:szCs w:val="18"/>
              </w:rPr>
              <w:t>利息收入</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4,699,115.98</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3,191,176.00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加：其他收益</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34,839,435.58</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27,510,157.09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投资收益（损失以“－”号填列）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128,138,864.33</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102,728,161.93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900" w:firstLineChars="500"/>
              <w:rPr>
                <w:rFonts w:ascii="宋体" w:hAnsi="宋体" w:eastAsia="宋体" w:cs="宋体"/>
                <w:sz w:val="18"/>
                <w:szCs w:val="18"/>
              </w:rPr>
            </w:pPr>
            <w:r>
              <w:rPr>
                <w:rFonts w:ascii="宋体" w:hAnsi="宋体" w:eastAsia="宋体" w:cs="宋体"/>
                <w:sz w:val="18"/>
                <w:szCs w:val="18"/>
              </w:rPr>
              <w:t>其中：对联营企业和合营企业的投资收益</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119,859,379.74</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85,719,868.59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440" w:firstLineChars="800"/>
              <w:rPr>
                <w:rFonts w:ascii="宋体" w:hAnsi="宋体" w:eastAsia="宋体" w:cs="宋体"/>
                <w:sz w:val="18"/>
                <w:szCs w:val="18"/>
              </w:rPr>
            </w:pPr>
            <w:r>
              <w:rPr>
                <w:rFonts w:ascii="宋体" w:hAnsi="宋体" w:eastAsia="宋体" w:cs="宋体"/>
                <w:sz w:val="18"/>
                <w:szCs w:val="18"/>
              </w:rPr>
              <w:t>以摊余成本计量的金融资产终止确认收益</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汇兑收益（损失以“-”号填列）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净敞口套期收益（损失以“－”号填列）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公允价值变动收益（损失以“－”号填列）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6,588,110.66</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8,201,153.45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信用减值损失（损失以“-”号填列）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-25,537,883.69</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-26,157,987.37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资产减值损失（损失以“-”号填列）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-2,130,359.31</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-1,275,402.62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资产处置收益（损失以“-”号填列）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873,026.79</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-204,345.93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三、营业利润（亏损以“－”号填列）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248,719,394.06</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216,954,876.95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加：营业外收入</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132,946.51</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337,253.79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减：营业外支出</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163,126.55</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367,820.06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四、利润总额（亏损总额以“－”号填列）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248,689,214.02</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216,924,310.68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减：所得税费用</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15,002,197.80</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15,169,353.73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五、净利润（净亏损以“－”号填列）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233,687,016.22</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201,754,956.95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（一）按经营持续性分类</w:t>
            </w:r>
          </w:p>
        </w:tc>
        <w:tc>
          <w:tcPr>
            <w:tcW w:w="269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693"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360" w:firstLineChars="200"/>
              <w:rPr>
                <w:rFonts w:ascii="宋体" w:hAnsi="宋体" w:eastAsia="宋体" w:cs="宋体"/>
                <w:sz w:val="18"/>
                <w:szCs w:val="18"/>
              </w:rPr>
            </w:pPr>
            <w:r>
              <w:rPr>
                <w:rFonts w:ascii="宋体" w:hAnsi="宋体" w:eastAsia="宋体" w:cs="宋体"/>
                <w:sz w:val="18"/>
                <w:szCs w:val="18"/>
              </w:rPr>
              <w:t>1.持续经营净利润（净亏损以“－”号填列）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233,687,016.22</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201,754,956.95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360" w:firstLineChars="200"/>
              <w:rPr>
                <w:rFonts w:ascii="宋体" w:hAnsi="宋体" w:eastAsia="宋体" w:cs="宋体"/>
                <w:sz w:val="18"/>
                <w:szCs w:val="18"/>
              </w:rPr>
            </w:pPr>
            <w:r>
              <w:rPr>
                <w:rFonts w:ascii="宋体" w:hAnsi="宋体" w:eastAsia="宋体" w:cs="宋体"/>
                <w:sz w:val="18"/>
                <w:szCs w:val="18"/>
              </w:rPr>
              <w:t>2.终止经营净利润（净亏损以“－”号填列）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（二）按所有权归属分类</w:t>
            </w:r>
          </w:p>
        </w:tc>
        <w:tc>
          <w:tcPr>
            <w:tcW w:w="269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693"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360" w:firstLineChars="200"/>
              <w:rPr>
                <w:rFonts w:ascii="宋体" w:hAnsi="宋体" w:eastAsia="宋体" w:cs="宋体"/>
                <w:sz w:val="18"/>
                <w:szCs w:val="18"/>
              </w:rPr>
            </w:pPr>
            <w:r>
              <w:rPr>
                <w:rFonts w:ascii="宋体" w:hAnsi="宋体" w:eastAsia="宋体" w:cs="宋体"/>
                <w:sz w:val="18"/>
                <w:szCs w:val="18"/>
              </w:rPr>
              <w:t>1.归属于母公司股东的净利润</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213,914,714.40</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189,301,310.10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360" w:firstLineChars="200"/>
              <w:rPr>
                <w:rFonts w:ascii="宋体" w:hAnsi="宋体" w:eastAsia="宋体" w:cs="宋体"/>
                <w:sz w:val="18"/>
                <w:szCs w:val="18"/>
              </w:rPr>
            </w:pPr>
            <w:r>
              <w:rPr>
                <w:rFonts w:ascii="宋体" w:hAnsi="宋体" w:eastAsia="宋体" w:cs="宋体"/>
                <w:sz w:val="18"/>
                <w:szCs w:val="18"/>
              </w:rPr>
              <w:t>2.少数股东损益</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19,772,301.82</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12,453,646.85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六、其他综合收益的税后净额</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归属母公司所有者的其他综合收益的税后净额</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360" w:firstLineChars="200"/>
              <w:rPr>
                <w:rFonts w:ascii="宋体" w:hAnsi="宋体" w:eastAsia="宋体" w:cs="宋体"/>
                <w:sz w:val="18"/>
                <w:szCs w:val="18"/>
              </w:rPr>
            </w:pPr>
            <w:r>
              <w:rPr>
                <w:rFonts w:ascii="宋体" w:hAnsi="宋体" w:eastAsia="宋体" w:cs="宋体"/>
                <w:sz w:val="18"/>
                <w:szCs w:val="18"/>
              </w:rPr>
              <w:t>（一）不能重分类进损益的其他综合收益</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1.重新计量设定受益计划变动额</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2.权益法下不能转损益的其他综合收益</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3.其他权益工具投资公允价值变动</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4.企业自身信用风险公允价值变动</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5.其他</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360" w:firstLineChars="200"/>
              <w:rPr>
                <w:rFonts w:ascii="宋体" w:hAnsi="宋体" w:eastAsia="宋体" w:cs="宋体"/>
                <w:sz w:val="18"/>
                <w:szCs w:val="18"/>
              </w:rPr>
            </w:pPr>
            <w:r>
              <w:rPr>
                <w:rFonts w:ascii="宋体" w:hAnsi="宋体" w:eastAsia="宋体" w:cs="宋体"/>
                <w:sz w:val="18"/>
                <w:szCs w:val="18"/>
              </w:rPr>
              <w:t>（二）将重分类进损益的其他综合收益</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1.权益法下可转损益的其他综合收益</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2.其他债权投资公允价值变动</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3.金融资产重分类计入其他综合收益的金额</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4.其他债权投资信用减值准备</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5.现金流量套期储备</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6.外币财务报表折算差额</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7.其他</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归属于少数股东的其他综合收益的税后净额</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七、综合收益总额</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233,687,016.22</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201,754,956.95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归属于母公司所有者的综合收益总额</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213,914,714.40</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189,301,310.10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归属于少数股东的综合收益总额</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19,772,301.82</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12,453,646.85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八、每股收益</w:t>
            </w:r>
          </w:p>
        </w:tc>
        <w:tc>
          <w:tcPr>
            <w:tcW w:w="269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693"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（一）基本每股收益</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0.2057</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0.1820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25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（二）稀释每股收益</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0.2057</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0.1820</w:t>
            </w:r>
          </w:p>
        </w:tc>
      </w:tr>
    </w:tbl>
    <w:p>
      <w:pPr>
        <w:spacing w:before="40" w:after="40" w:line="240" w:lineRule="exact"/>
        <w:rPr>
          <w:rFonts w:ascii="宋体" w:hAnsi="宋体" w:eastAsia="宋体" w:cs="宋体"/>
          <w:sz w:val="18"/>
          <w:szCs w:val="18"/>
        </w:rPr>
      </w:pPr>
      <w:r>
        <w:rPr>
          <w:rFonts w:ascii="宋体" w:hAnsi="宋体" w:eastAsia="宋体" w:cs="宋体"/>
          <w:sz w:val="18"/>
          <w:szCs w:val="18"/>
        </w:rPr>
        <w:t>本期发生同一控制下企业合并的，被合并方在合并前实现的净利润为：元，上期被合并方实现的净利润为：元。</w:t>
      </w:r>
    </w:p>
    <w:p>
      <w:pPr>
        <w:spacing w:before="40" w:after="40" w:line="240" w:lineRule="exact"/>
        <w:rPr>
          <w:rFonts w:ascii="宋体" w:hAnsi="宋体" w:eastAsia="宋体" w:cs="宋体"/>
          <w:sz w:val="18"/>
          <w:szCs w:val="18"/>
        </w:rPr>
      </w:pPr>
      <w:r>
        <w:rPr>
          <w:rFonts w:ascii="宋体" w:hAnsi="宋体" w:eastAsia="宋体" w:cs="宋体"/>
          <w:sz w:val="18"/>
          <w:szCs w:val="18"/>
        </w:rPr>
        <w:t>法定代表人：李建林    主管会计工作负责人：童为民    会计机构负责人：刘建华</w:t>
      </w:r>
    </w:p>
    <w:p>
      <w:pPr>
        <w:pStyle w:val="4"/>
        <w:spacing w:line="280" w:lineRule="exact"/>
        <w:jc w:val="left"/>
        <w:rPr>
          <w:rFonts w:ascii="宋体" w:hAnsi="宋体" w:cs="宋体"/>
          <w:b/>
          <w:bCs/>
        </w:rPr>
      </w:pPr>
      <w:bookmarkStart w:id="152" w:name="_Toc989038"/>
      <w:r>
        <w:rPr>
          <w:rFonts w:ascii="宋体" w:hAnsi="宋体" w:cs="宋体"/>
          <w:b/>
          <w:bCs/>
        </w:rPr>
        <w:t>4、母公司利润表</w:t>
      </w:r>
      <w:bookmarkEnd w:id="152"/>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2410"/>
        <w:gridCol w:w="240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2022年度</w:t>
            </w:r>
          </w:p>
        </w:tc>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2021年度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一、营业收入</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749,452,420.23</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690,815,372.04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减：营业成本</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545,202,425.58</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469,317,303.72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税金及附加</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5,692,114.19</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7,191,220.50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销售费用</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86,627,379.53</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77,491,280.12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管理费用</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25,750,947.08</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21,120,936.16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研发费用</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36,381,918.55</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37,284,656.94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财务费用</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-3,230,355.84</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-1,370,619.52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其中：利息费用</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112,955.57</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57,347.50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260" w:firstLineChars="700"/>
              <w:rPr>
                <w:rFonts w:ascii="宋体" w:hAnsi="宋体" w:eastAsia="宋体" w:cs="宋体"/>
                <w:sz w:val="18"/>
                <w:szCs w:val="18"/>
              </w:rPr>
            </w:pPr>
            <w:r>
              <w:rPr>
                <w:rFonts w:ascii="宋体" w:hAnsi="宋体" w:eastAsia="宋体" w:cs="宋体"/>
                <w:sz w:val="18"/>
                <w:szCs w:val="18"/>
              </w:rPr>
              <w:t>利息收入</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2,926,177.17</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1,672,243.79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加：其他收益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22,006,323.52</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23,457,594.72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投资收益（损失以“－”号填列）</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132,199,072.55</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74,695,560.67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其中：对联营企业和合营企业的投资收益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119,859,379.74</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62,959,211.54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260" w:firstLineChars="700"/>
              <w:rPr>
                <w:rFonts w:ascii="宋体" w:hAnsi="宋体" w:eastAsia="宋体" w:cs="宋体"/>
                <w:sz w:val="18"/>
                <w:szCs w:val="18"/>
              </w:rPr>
            </w:pPr>
            <w:r>
              <w:rPr>
                <w:rFonts w:ascii="宋体" w:hAnsi="宋体" w:eastAsia="宋体" w:cs="宋体"/>
                <w:sz w:val="18"/>
                <w:szCs w:val="18"/>
              </w:rPr>
              <w:t>以摊余成本计量的金融资产终止确认收益（损失以“-”号填列）</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净敞口套期收益（损失以“－”号填列）</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公允价值变动收益（损失以“－”号填列）</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6,588,110.66</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8,201,153.45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信用减值损失（损失以“-”号填列）</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-22,178,982.49</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-25,986,635.76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资产减值损失（损失以“-”号填列）</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-694,053.68</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-1,487,063.17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资产处置收益（损失以“-”号填列）</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923,821.90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二、营业利润（亏损以“－”号填列）</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191,872,283.60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158,661,204.03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加：营业外收入</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2,734.00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减：营业外支出</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10,500.54</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340,709.49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三、利润总额（亏损总额以“－”号填列）</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191,861,783.06</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158,323,228.54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减：所得税费用</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6,362,115.79</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9,288,309.40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四、净利润（净亏损以“－”号填列）</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185,499,667.27</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149,034,919.14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（一）持续经营净利润（净亏损以“－”号填列）</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185,499,667.27</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149,034,919.14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（二）终止经营净利润（净亏损以“－”号填列）</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五、其他综合收益的税后净额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360" w:firstLineChars="200"/>
              <w:rPr>
                <w:rFonts w:ascii="宋体" w:hAnsi="宋体" w:eastAsia="宋体" w:cs="宋体"/>
                <w:sz w:val="18"/>
                <w:szCs w:val="18"/>
              </w:rPr>
            </w:pPr>
            <w:r>
              <w:rPr>
                <w:rFonts w:ascii="宋体" w:hAnsi="宋体" w:eastAsia="宋体" w:cs="宋体"/>
                <w:sz w:val="18"/>
                <w:szCs w:val="18"/>
              </w:rPr>
              <w:t>（一）不能重分类进损益的其他综合收益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1.重新计量设定受益计划变动额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2.权益法下不能转损益的其他综合收益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3.其他权益工具投资公允价值变动</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4.企业自身信用风险公允价值变动</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5.其他</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360" w:firstLineChars="200"/>
              <w:rPr>
                <w:rFonts w:ascii="宋体" w:hAnsi="宋体" w:eastAsia="宋体" w:cs="宋体"/>
                <w:sz w:val="18"/>
                <w:szCs w:val="18"/>
              </w:rPr>
            </w:pPr>
            <w:r>
              <w:rPr>
                <w:rFonts w:ascii="宋体" w:hAnsi="宋体" w:eastAsia="宋体" w:cs="宋体"/>
                <w:sz w:val="18"/>
                <w:szCs w:val="18"/>
              </w:rPr>
              <w:t>（二）将重分类进损益的其他综合收益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1.权益法下可转损益的其他综合收益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2.其他债权投资公允价值变动</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3.金融资产重分类计入其他综合收益的金额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4.其他债权投资信用减值准备</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5.现金流量套期储备</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6.外币财务报表折算差额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540" w:firstLineChars="300"/>
              <w:rPr>
                <w:rFonts w:ascii="宋体" w:hAnsi="宋体" w:eastAsia="宋体" w:cs="宋体"/>
                <w:sz w:val="18"/>
                <w:szCs w:val="18"/>
              </w:rPr>
            </w:pPr>
            <w:r>
              <w:rPr>
                <w:rFonts w:ascii="宋体" w:hAnsi="宋体" w:eastAsia="宋体" w:cs="宋体"/>
                <w:sz w:val="18"/>
                <w:szCs w:val="18"/>
              </w:rPr>
              <w:t>7.其他</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六、综合收益总额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185,499,667.27</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149,034,919.14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七、每股收益：</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（一）基本每股收益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（二）稀释每股收益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pStyle w:val="4"/>
        <w:spacing w:line="280" w:lineRule="exact"/>
        <w:jc w:val="left"/>
        <w:rPr>
          <w:rFonts w:ascii="宋体" w:hAnsi="宋体" w:cs="宋体"/>
          <w:b/>
          <w:bCs/>
        </w:rPr>
      </w:pPr>
      <w:bookmarkStart w:id="153" w:name="_Toc989039"/>
      <w:r>
        <w:rPr>
          <w:rFonts w:ascii="宋体" w:hAnsi="宋体" w:cs="宋体"/>
          <w:b/>
          <w:bCs/>
        </w:rPr>
        <w:t>5、合并现金流量表</w:t>
      </w:r>
      <w:bookmarkEnd w:id="153"/>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2410"/>
        <w:gridCol w:w="240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项目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2022年度</w:t>
            </w:r>
          </w:p>
        </w:tc>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2021年度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一、经营活动产生的现金流量：</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销售商品、提供劳务收到的现金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1,473,201,360.75</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974,373,893.30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客户存款和同业存放款项净增加额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向中央银行借款净增加额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向其他金融机构拆入资金净增加额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收到原保险合同保费取得的现金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收到再保业务现金净额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保户储金及投资款净增加额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收取利息、手续费及佣金的现金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拆入资金净增加额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回购业务资金净增加额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代理买卖证券收到的现金净额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收到的税费返还</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37,778,294.67</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30,229,535.00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收到其他与经营活动有关的现金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58,236,910.20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50,716,332.12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经营活动现金流入小计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1,569,216,565.62</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1,055,319,760.42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购买商品、接受劳务支付的现金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1,182,654,845.64</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615,244,019.48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客户贷款及垫款净增加额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存放中央银行和同业款项净增加额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支付原保险合同赔付款项的现金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拆出资金净增加额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支付利息、手续费及佣金的现金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支付保单红利的现金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支付给职工以及为职工支付的现金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168,223,301.38</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145,981,008.36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支付的各项税费</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72,715,140.76</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81,377,279.60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支付其他与经营活动有关的现金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134,827,352.53</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128,843,213.77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经营活动现金流出小计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1,558,420,640.31</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971,445,521.21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经营活动产生的现金流量净额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10,795,925.31</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83,874,239.21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二、投资活动产生的现金流量：</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收回投资收到的现金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400,000,000.00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510,880,000.00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取得投资收益收到的现金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109,962,234.04</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19,561,821.54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处置固定资产、无形资产和其他长期资产收回的现金净额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20,091,556.20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278,250.94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处置子公司及其他营业单位收到的现金净额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收到其他与投资活动有关的现金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266,000,000.00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400,000,000.00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投资活动现金流入小计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796,053,790.24</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930,720,072.48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购建固定资产、无形资产和其他长期资产支付的现金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41,182,452.70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14,958,583.35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投资支付的现金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409,545,454.00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582,644,682.00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质押贷款净增加额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取得子公司及其他营业单位支付的现金净额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166,782,258.77</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支付其他与投资活动有关的现金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116,500,000.00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266,000,000.00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投资活动现金流出小计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734,010,165.47</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863,603,265.35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投资活动产生的现金流量净额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62,043,624.77</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67,116,807.13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三、筹资活动产生的现金流量：</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吸收投资收到的现金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21,000,000.00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435,000.00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其中：子公司吸收少数股东投资收到的现金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21,000,000.00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435,000.00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取得借款收到的现金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30,000,000.00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23,600,000.00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收到其他与筹资活动有关的现金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26,588,724.82</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筹资活动现金流入小计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77,588,724.82</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24,035,000.00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偿还债务支付的现金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2,900,000.00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分配股利、利润或偿付利息支付的现金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34,396,892.44</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41,700,386.35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其中：子公司支付给少数股东的股利、利润</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2,800,000.00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支付其他与筹资活动有关的现金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30,423,695.89</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1,481,159.91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筹资活动现金流出小计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67,720,588.33</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65,881,546.26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筹资活动产生的现金流量净额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9,868,136.49</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-41,846,546.26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四、汇率变动对现金及现金等价物的影响</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315,791.82</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-233,144.75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五、现金及现金等价物净增加额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83,023,478.39</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108,911,355.33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加：期初现金及现金等价物余额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419,306,242.24</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310,394,886.91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六、期末现金及现金等价物余额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502,329,720.63</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419,306,242.24</w:t>
            </w:r>
          </w:p>
        </w:tc>
      </w:tr>
    </w:tbl>
    <w:p>
      <w:pPr>
        <w:pStyle w:val="4"/>
        <w:spacing w:line="280" w:lineRule="exact"/>
        <w:jc w:val="left"/>
        <w:rPr>
          <w:rFonts w:ascii="宋体" w:hAnsi="宋体" w:cs="宋体"/>
          <w:b/>
          <w:bCs/>
        </w:rPr>
      </w:pPr>
      <w:bookmarkStart w:id="154" w:name="_Toc989040"/>
      <w:r>
        <w:rPr>
          <w:rFonts w:ascii="宋体" w:hAnsi="宋体" w:cs="宋体"/>
          <w:b/>
          <w:bCs/>
        </w:rPr>
        <w:t>6、母公司现金流量表</w:t>
      </w:r>
      <w:bookmarkEnd w:id="154"/>
    </w:p>
    <w:p>
      <w:pPr>
        <w:spacing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2410"/>
        <w:gridCol w:w="240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项目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2022年度</w:t>
            </w:r>
          </w:p>
        </w:tc>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2021年度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一、经营活动产生的现金流量：</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销售商品、提供劳务收到的现金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825,654,718.43</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712,440,087.30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收到的税费返还</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24,177,191.07</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21,068,163.40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收到其他与经营活动有关的现金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45,882,473.97</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39,913,237.77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经营活动现金流入小计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895,714,383.47</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773,421,488.47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购买商品、接受劳务支付的现金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607,222,730.13</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454,527,047.17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支付给职工以及为职工支付的现金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92,890,596.78</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83,795,430.02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支付的各项税费</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46,291,727.37</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66,362,106.90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支付其他与经营活动有关的现金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109,974,309.40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108,944,967.27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经营活动现金流出小计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856,379,363.68</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713,629,551.36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经营活动产生的现金流量净额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39,335,019.79</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59,791,937.11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二、投资活动产生的现金流量：</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收回投资收到的现金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400,000,000.00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522,621,030.70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取得投资收益收到的现金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113,970,234.04</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17,026,291.37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处置固定资产、无形资产和其他长期资产收回的现金净额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19,910,824.00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197,314.34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处置子公司及其他营业单位收到的现金净额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收到其他与投资活动有关的现金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260,000,000.00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390,000,000.00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投资活动现金流入小计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793,881,058.04</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929,844,636.41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购建固定资产、无形资产和其他长期资产支付的现金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22,831,803.47</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8,448,018.50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投资支付的现金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653,941,154.00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583,559,682.00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取得子公司及其他营业单位支付的现金净额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支付其他与投资活动有关的现金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110,000,000.00</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260,000,000.00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投资活动现金流出小计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786,772,957.47</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852,007,700.50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投资活动产生的现金流量净额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7,108,100.57</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77,836,935.91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三、筹资活动产生的现金流量：</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吸收投资收到的现金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取得借款收到的现金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22,600,000.00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收到其他与筹资活动有关的现金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筹资活动现金流入小计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22,600,000.00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偿还债务支付的现金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22,600,000.00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分配股利、利润或偿付利息支付的现金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31,200,997.86</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41,658,677.98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支付其他与筹资活动有关的现金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筹资活动现金流出小计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31,200,997.86</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64,258,677.98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筹资活动产生的现金流量净额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-31,200,997.86</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-41,658,677.98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四、汇率变动对现金及现金等价物的影响</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-36,293.89</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-233,144.75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五、现金及现金等价物净增加额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15,205,828.61</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95,737,050.29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ind w:firstLine="180" w:firstLineChars="100"/>
              <w:rPr>
                <w:rFonts w:ascii="宋体" w:hAnsi="宋体" w:eastAsia="宋体" w:cs="宋体"/>
                <w:sz w:val="18"/>
                <w:szCs w:val="18"/>
              </w:rPr>
            </w:pPr>
            <w:r>
              <w:rPr>
                <w:rFonts w:ascii="宋体" w:hAnsi="宋体" w:eastAsia="宋体" w:cs="宋体"/>
                <w:sz w:val="18"/>
                <w:szCs w:val="18"/>
              </w:rPr>
              <w:t>加：期初现金及现金等价物余额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300,467,463.03</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204,730,412.74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line="240" w:lineRule="exact"/>
              <w:rPr>
                <w:rFonts w:ascii="宋体" w:hAnsi="宋体" w:eastAsia="宋体" w:cs="宋体"/>
                <w:sz w:val="18"/>
                <w:szCs w:val="18"/>
              </w:rPr>
            </w:pPr>
            <w:r>
              <w:rPr>
                <w:rFonts w:ascii="宋体" w:hAnsi="宋体" w:eastAsia="宋体" w:cs="宋体"/>
                <w:sz w:val="18"/>
                <w:szCs w:val="18"/>
              </w:rPr>
              <w:t>六、期末现金及现金等价物余额</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315,673,291.64</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300,467,463.03</w:t>
            </w:r>
          </w:p>
        </w:tc>
      </w:tr>
    </w:tbl>
    <w:p>
      <w:pPr>
        <w:pStyle w:val="4"/>
        <w:spacing w:line="280" w:lineRule="exact"/>
        <w:jc w:val="left"/>
        <w:rPr>
          <w:rFonts w:ascii="宋体" w:hAnsi="宋体" w:cs="宋体"/>
          <w:b/>
          <w:bCs/>
        </w:rPr>
        <w:sectPr>
          <w:headerReference r:id="rId3" w:type="default"/>
          <w:footerReference r:id="rId4" w:type="default"/>
          <w:pgSz w:w="11905" w:h="16840"/>
          <w:pgMar w:top="1440" w:right="1134" w:bottom="1440" w:left="1134" w:header="850" w:footer="992" w:gutter="0"/>
          <w:cols w:space="720" w:num="1"/>
          <w:docGrid w:type="linesAndChars" w:linePitch="312" w:charSpace="0"/>
        </w:sectPr>
      </w:pPr>
      <w:bookmarkStart w:id="155" w:name="_Toc989041"/>
    </w:p>
    <w:p>
      <w:pPr>
        <w:pStyle w:val="4"/>
        <w:spacing w:before="240" w:after="120" w:line="240" w:lineRule="exact"/>
        <w:jc w:val="left"/>
        <w:rPr>
          <w:rFonts w:ascii="宋体" w:hAnsi="宋体" w:cs="宋体"/>
          <w:b/>
          <w:bCs/>
        </w:rPr>
      </w:pPr>
      <w:r>
        <w:rPr>
          <w:rFonts w:ascii="宋体" w:hAnsi="宋体" w:cs="宋体"/>
          <w:b/>
          <w:bCs/>
        </w:rPr>
        <w:t>7、合并所有者权益变动表</w:t>
      </w:r>
      <w:bookmarkEnd w:id="155"/>
    </w:p>
    <w:p>
      <w:pPr>
        <w:spacing w:line="240" w:lineRule="exact"/>
        <w:rPr>
          <w:rFonts w:ascii="宋体" w:hAnsi="宋体" w:eastAsia="宋体" w:cs="宋体"/>
          <w:sz w:val="18"/>
          <w:szCs w:val="18"/>
        </w:rPr>
      </w:pPr>
      <w:r>
        <w:rPr>
          <w:rFonts w:ascii="宋体" w:hAnsi="宋体" w:eastAsia="宋体" w:cs="宋体"/>
          <w:sz w:val="18"/>
          <w:szCs w:val="18"/>
        </w:rPr>
        <w:t>本期金额</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091"/>
        <w:gridCol w:w="989"/>
        <w:gridCol w:w="709"/>
        <w:gridCol w:w="709"/>
        <w:gridCol w:w="420"/>
        <w:gridCol w:w="856"/>
        <w:gridCol w:w="712"/>
        <w:gridCol w:w="842"/>
        <w:gridCol w:w="848"/>
        <w:gridCol w:w="862"/>
        <w:gridCol w:w="700"/>
        <w:gridCol w:w="851"/>
        <w:gridCol w:w="567"/>
        <w:gridCol w:w="1004"/>
        <w:gridCol w:w="995"/>
        <w:gridCol w:w="102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262" w:type="pct"/>
            <w:gridSpan w:val="15"/>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551" w:type="pct"/>
            <w:gridSpan w:val="1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归属于母公司所有者权益</w:t>
            </w:r>
          </w:p>
        </w:tc>
        <w:tc>
          <w:tcPr>
            <w:tcW w:w="351"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少数股东权益</w:t>
            </w:r>
          </w:p>
        </w:tc>
        <w:tc>
          <w:tcPr>
            <w:tcW w:w="36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所有者权益合计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49"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股本</w:t>
            </w:r>
          </w:p>
        </w:tc>
        <w:tc>
          <w:tcPr>
            <w:tcW w:w="648" w:type="pct"/>
            <w:gridSpan w:val="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其他权益工具</w:t>
            </w:r>
          </w:p>
        </w:tc>
        <w:tc>
          <w:tcPr>
            <w:tcW w:w="302"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资本公积</w:t>
            </w:r>
          </w:p>
        </w:tc>
        <w:tc>
          <w:tcPr>
            <w:tcW w:w="251"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减：库存股</w:t>
            </w:r>
          </w:p>
        </w:tc>
        <w:tc>
          <w:tcPr>
            <w:tcW w:w="297"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其他综合收益</w:t>
            </w:r>
          </w:p>
        </w:tc>
        <w:tc>
          <w:tcPr>
            <w:tcW w:w="299"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专项储备</w:t>
            </w:r>
          </w:p>
        </w:tc>
        <w:tc>
          <w:tcPr>
            <w:tcW w:w="304"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盈余公积</w:t>
            </w:r>
          </w:p>
        </w:tc>
        <w:tc>
          <w:tcPr>
            <w:tcW w:w="247"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一般风险准备</w:t>
            </w:r>
          </w:p>
        </w:tc>
        <w:tc>
          <w:tcPr>
            <w:tcW w:w="30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未分配利润</w:t>
            </w:r>
          </w:p>
        </w:tc>
        <w:tc>
          <w:tcPr>
            <w:tcW w:w="20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353"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小计</w:t>
            </w:r>
          </w:p>
        </w:tc>
        <w:tc>
          <w:tcPr>
            <w:tcW w:w="351"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6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49"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50"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优先股</w:t>
            </w:r>
          </w:p>
        </w:tc>
        <w:tc>
          <w:tcPr>
            <w:tcW w:w="250"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永续债</w:t>
            </w:r>
          </w:p>
        </w:tc>
        <w:tc>
          <w:tcPr>
            <w:tcW w:w="14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302"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51"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97"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99" w:type="pct"/>
            <w:vMerge w:val="continue"/>
            <w:tcBorders>
              <w:top w:val="single" w:color="auto" w:sz="2" w:space="0"/>
              <w:left w:val="single" w:color="auto" w:sz="2" w:space="0"/>
              <w:bottom w:val="single" w:color="auto" w:sz="2" w:space="0"/>
              <w:right w:val="single" w:color="auto" w:sz="2" w:space="0"/>
            </w:tcBorders>
            <w:vAlign w:val="center"/>
          </w:tcPr>
          <w:p/>
        </w:tc>
        <w:tc>
          <w:tcPr>
            <w:tcW w:w="304"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47"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0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0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53"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51"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6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一、上年期末余额</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34,201,365.84</w:t>
            </w: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4,751,806.92</w:t>
            </w: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148,069,158.75</w:t>
            </w: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820,901,820.99</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2,047,957,414.50</w:t>
            </w: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126,542,685.65</w:t>
            </w: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2,174,500,100.15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加：会计政策变更</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前期差错更正</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同一控制下企业合并</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其他</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二、本年期初余额</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34,201,365.84</w:t>
            </w: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4,751,806.92</w:t>
            </w: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148,069,158.75</w:t>
            </w: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820,901,820.99</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2,047,957,414.50</w:t>
            </w: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126,542,685.65</w:t>
            </w: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2,174,500,100.15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三、本期增减变动金额（减少以“－”号填列）</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1,485,866.22</w:t>
            </w: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9,653,023.76</w:t>
            </w: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18,549,966.73</w:t>
            </w: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164,163,749.81</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193,852,606.52</w:t>
            </w: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66,195,132.25</w:t>
            </w: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260,047,738.77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（一）综合收益总额</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213,914,714.40</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213,914,714.40</w:t>
            </w: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19,772,301.82</w:t>
            </w: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233,687,016.22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（二）所有者投入和减少资本</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1,485,866.22</w:t>
            </w: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1,485,866.22</w:t>
            </w: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21,382,212.66</w:t>
            </w: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22,868,078.88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1．所有者投入的普通股</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21,000,000.00</w:t>
            </w: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21,000,000.00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2．其他权益工具持有者投入资本</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3．股份支付计入所有者权益的金额</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397,813.18</w:t>
            </w: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397,813.18</w:t>
            </w: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382,212.66</w:t>
            </w: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780,025.84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4．其他</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1,088,053.04</w:t>
            </w: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1,088,053.04</w:t>
            </w: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1,088,053.04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（三）利润分配</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18,549,966.73</w:t>
            </w: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-49,750,964.59</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-31,200,997.86</w:t>
            </w: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-2,800,000.00</w:t>
            </w: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-34,000,997.86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1．提取盈余公积</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18,549,966.73</w:t>
            </w: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-18,549,966.73</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2．提取一般风险准备</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3．对所有者（或股东）的分配</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-31,200,997.86</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-31,200,997.86</w:t>
            </w: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-2,800,000.00</w:t>
            </w: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-34,000,997.86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4．其他</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（四）所有者权益内部结转</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1．资本公积转增资本（或股本）</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2．盈余公积转增资本（或股本）</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3．盈余公积弥补亏损</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4．设定受益计划变动额结转留存收益</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5．其他综合收益结转留存收益</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6．其他</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（五）专项储备</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827,252.61</w:t>
            </w: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827,252.61</w:t>
            </w: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301,762.64</w:t>
            </w: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1,129,015.25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1．本期提取</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862,388.74</w:t>
            </w: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862,388.74</w:t>
            </w: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319,068.50</w:t>
            </w: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1,181,457.24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2．本期使用</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35,136.13</w:t>
            </w: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35,136.13</w:t>
            </w: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17,305.86</w:t>
            </w: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52,441.99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（六）其他</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8,825,771.15</w:t>
            </w: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8,825,771.15</w:t>
            </w: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27,538,855.13</w:t>
            </w: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36,364,626.28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四、本期期末余额</w:t>
            </w:r>
          </w:p>
        </w:tc>
        <w:tc>
          <w:tcPr>
            <w:tcW w:w="3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35,687,232.06</w:t>
            </w:r>
          </w:p>
        </w:tc>
        <w:tc>
          <w:tcPr>
            <w:tcW w:w="2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14,404,830.68</w:t>
            </w:r>
          </w:p>
        </w:tc>
        <w:tc>
          <w:tcPr>
            <w:tcW w:w="304"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166,619,125.48</w:t>
            </w:r>
          </w:p>
        </w:tc>
        <w:tc>
          <w:tcPr>
            <w:tcW w:w="247"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985,065,570.80</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3"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2,241,810,021.02</w:t>
            </w:r>
          </w:p>
        </w:tc>
        <w:tc>
          <w:tcPr>
            <w:tcW w:w="3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192,737,817.90</w:t>
            </w:r>
          </w:p>
        </w:tc>
        <w:tc>
          <w:tcPr>
            <w:tcW w:w="36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2,434,547,838.92</w:t>
            </w:r>
          </w:p>
        </w:tc>
      </w:tr>
    </w:tbl>
    <w:p>
      <w:pPr>
        <w:spacing w:line="240" w:lineRule="exact"/>
        <w:rPr>
          <w:rFonts w:ascii="宋体" w:hAnsi="宋体" w:eastAsia="宋体" w:cs="宋体"/>
          <w:sz w:val="18"/>
          <w:szCs w:val="18"/>
        </w:rPr>
      </w:pPr>
      <w:r>
        <w:rPr>
          <w:rFonts w:ascii="宋体" w:hAnsi="宋体" w:eastAsia="宋体" w:cs="宋体"/>
          <w:sz w:val="18"/>
          <w:szCs w:val="18"/>
        </w:rPr>
        <w:t>上期金额</w:t>
      </w:r>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091"/>
        <w:gridCol w:w="992"/>
        <w:gridCol w:w="706"/>
        <w:gridCol w:w="709"/>
        <w:gridCol w:w="428"/>
        <w:gridCol w:w="848"/>
        <w:gridCol w:w="851"/>
        <w:gridCol w:w="709"/>
        <w:gridCol w:w="851"/>
        <w:gridCol w:w="851"/>
        <w:gridCol w:w="709"/>
        <w:gridCol w:w="992"/>
        <w:gridCol w:w="567"/>
        <w:gridCol w:w="995"/>
        <w:gridCol w:w="851"/>
        <w:gridCol w:w="102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262" w:type="pct"/>
            <w:gridSpan w:val="15"/>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2021年度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600" w:type="pct"/>
            <w:gridSpan w:val="1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归属于母公司所有者权益</w:t>
            </w:r>
          </w:p>
        </w:tc>
        <w:tc>
          <w:tcPr>
            <w:tcW w:w="30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少数股东权益</w:t>
            </w:r>
          </w:p>
        </w:tc>
        <w:tc>
          <w:tcPr>
            <w:tcW w:w="362"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所有者权益合计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5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股本</w:t>
            </w:r>
          </w:p>
        </w:tc>
        <w:tc>
          <w:tcPr>
            <w:tcW w:w="650" w:type="pct"/>
            <w:gridSpan w:val="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其他权益工具</w:t>
            </w:r>
          </w:p>
        </w:tc>
        <w:tc>
          <w:tcPr>
            <w:tcW w:w="299"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资本公积</w:t>
            </w:r>
          </w:p>
        </w:tc>
        <w:tc>
          <w:tcPr>
            <w:tcW w:w="30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减：库存股</w:t>
            </w:r>
          </w:p>
        </w:tc>
        <w:tc>
          <w:tcPr>
            <w:tcW w:w="25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其他综合收益</w:t>
            </w:r>
          </w:p>
        </w:tc>
        <w:tc>
          <w:tcPr>
            <w:tcW w:w="30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专项储备</w:t>
            </w:r>
          </w:p>
        </w:tc>
        <w:tc>
          <w:tcPr>
            <w:tcW w:w="30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盈余公积</w:t>
            </w:r>
          </w:p>
        </w:tc>
        <w:tc>
          <w:tcPr>
            <w:tcW w:w="25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一般风险准备</w:t>
            </w:r>
          </w:p>
        </w:tc>
        <w:tc>
          <w:tcPr>
            <w:tcW w:w="35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未分配利润</w:t>
            </w:r>
          </w:p>
        </w:tc>
        <w:tc>
          <w:tcPr>
            <w:tcW w:w="20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35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小计</w:t>
            </w:r>
          </w:p>
        </w:tc>
        <w:tc>
          <w:tcPr>
            <w:tcW w:w="30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62"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5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49"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优先股</w:t>
            </w:r>
          </w:p>
        </w:tc>
        <w:tc>
          <w:tcPr>
            <w:tcW w:w="250"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永续债</w:t>
            </w:r>
          </w:p>
        </w:tc>
        <w:tc>
          <w:tcPr>
            <w:tcW w:w="151"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299"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0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5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00" w:type="pct"/>
            <w:vMerge w:val="continue"/>
            <w:tcBorders>
              <w:top w:val="single" w:color="auto" w:sz="2" w:space="0"/>
              <w:left w:val="single" w:color="auto" w:sz="2" w:space="0"/>
              <w:bottom w:val="single" w:color="auto" w:sz="2" w:space="0"/>
              <w:right w:val="single" w:color="auto" w:sz="2" w:space="0"/>
            </w:tcBorders>
            <w:vAlign w:val="center"/>
          </w:tcPr>
          <w:p/>
        </w:tc>
        <w:tc>
          <w:tcPr>
            <w:tcW w:w="30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5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5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00" w:type="pct"/>
            <w:vMerge w:val="continue"/>
            <w:tcBorders>
              <w:top w:val="single" w:color="auto" w:sz="2" w:space="0"/>
              <w:left w:val="single" w:color="auto" w:sz="2" w:space="0"/>
              <w:bottom w:val="single" w:color="auto" w:sz="2" w:space="0"/>
              <w:right w:val="single" w:color="auto" w:sz="2" w:space="0"/>
            </w:tcBorders>
            <w:vAlign w:val="center"/>
          </w:tcPr>
          <w:p/>
        </w:tc>
        <w:tc>
          <w:tcPr>
            <w:tcW w:w="350" w:type="pct"/>
            <w:vMerge w:val="continue"/>
            <w:tcBorders>
              <w:top w:val="single" w:color="auto" w:sz="2" w:space="0"/>
              <w:left w:val="single" w:color="auto" w:sz="2" w:space="0"/>
              <w:bottom w:val="single" w:color="auto" w:sz="2" w:space="0"/>
              <w:right w:val="single" w:color="auto" w:sz="2" w:space="0"/>
            </w:tcBorders>
            <w:vAlign w:val="center"/>
          </w:tcPr>
          <w:p/>
        </w:tc>
        <w:tc>
          <w:tcPr>
            <w:tcW w:w="30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62"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一、上年期末余额</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77,396,820.12</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4,751,806.92</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132,613,959.84</w:t>
            </w: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683,711,389.98</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1,938,507,238.86</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114,067,502.51</w:t>
            </w: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2,052,574,741.37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加：会计政策变更</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前期差错更正</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同一控制下企业合并</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1,190,457.65</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551,707.00</w:t>
            </w: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4,393,943.30</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6,136,107.95</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10,873,448.10</w:t>
            </w: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17,009,556.05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其他</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二、本年期初余额</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78,587,277.77</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4,751,806.92</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133,165,666.84</w:t>
            </w: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688,105,333.28</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1,944,643,346.81</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124,940,950.61</w:t>
            </w: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2,069,584,297.42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三、本期增减变动金额（减少以“－”号填列）</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-44,385,911.93</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14,903,491.91</w:t>
            </w: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132,796,487.71</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103,314,067.69</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1,601,735.04</w:t>
            </w: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104,915,802.73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（一）综合收益总额</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189,301,310.10</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189,301,310.10</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12,453,646.85</w:t>
            </w: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201,754,956.95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（二）所有者投入和减少资本</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397,813.18</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397,813.18</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817,212.66</w:t>
            </w: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1,215,025.84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1．所有者投入的普通股</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435,000.00</w:t>
            </w: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435,000.00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2．其他权益工具持有者投入资本</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3．股份支付计入所有者权益的金额</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397,813.18</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397,813.18</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382,212.66</w:t>
            </w: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780,025.84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4．其他</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（三）利润分配</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14,903,491.91</w:t>
            </w: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-56,504,822.39</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-41,601,330.48</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-41,601,330.48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1．提取盈余公积</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14,903,491.91</w:t>
            </w: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-14,903,491.91</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2．提取一般风险准备</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3．对所有者（或股东）的分配</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-41,601,330.48</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-41,601,330.48</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-41,601,330.48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4．其他</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（四）所有者权益内部结转</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1．资本公积转增资本（或股本）</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2．盈余公积转增资本（或股本）</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3．盈余公积弥补亏损</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4．设定受益计划变动额结转留存收益</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5．其他综合收益结转留存收益</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6．其他</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（五）专项储备</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1．本期提取</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2．本期使用</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（六）其他</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-44,783,725.11</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-44,783,725.11</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-11,669,124.47</w:t>
            </w: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-56,452,849.58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四、本期期末余额</w:t>
            </w: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c>
          <w:tcPr>
            <w:tcW w:w="24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99"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34,201,365.84</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4,751,806.92</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148,069,158.75</w:t>
            </w: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820,901,820.99</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2,047,957,414.50</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126,542,685.65</w:t>
            </w:r>
          </w:p>
        </w:tc>
        <w:tc>
          <w:tcPr>
            <w:tcW w:w="36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2,174,500,100.15</w:t>
            </w:r>
          </w:p>
        </w:tc>
      </w:tr>
    </w:tbl>
    <w:p>
      <w:pPr>
        <w:pStyle w:val="4"/>
        <w:spacing w:before="240" w:after="120" w:line="240" w:lineRule="exact"/>
        <w:jc w:val="left"/>
        <w:rPr>
          <w:rFonts w:ascii="宋体" w:hAnsi="宋体" w:cs="宋体"/>
          <w:b/>
          <w:bCs/>
        </w:rPr>
      </w:pPr>
      <w:bookmarkStart w:id="156" w:name="_Toc989042"/>
      <w:r>
        <w:rPr>
          <w:rFonts w:ascii="宋体" w:hAnsi="宋体" w:cs="宋体"/>
          <w:b/>
          <w:bCs/>
        </w:rPr>
        <w:t>8、母公司所有者权益变动表</w:t>
      </w:r>
      <w:bookmarkEnd w:id="156"/>
    </w:p>
    <w:p>
      <w:pPr>
        <w:spacing w:before="40" w:after="40" w:line="240" w:lineRule="exact"/>
        <w:rPr>
          <w:rFonts w:ascii="宋体" w:hAnsi="宋体" w:eastAsia="宋体" w:cs="宋体"/>
          <w:sz w:val="18"/>
          <w:szCs w:val="18"/>
        </w:rPr>
      </w:pPr>
      <w:r>
        <w:rPr>
          <w:rFonts w:ascii="宋体" w:hAnsi="宋体" w:eastAsia="宋体" w:cs="宋体"/>
          <w:sz w:val="18"/>
          <w:szCs w:val="18"/>
        </w:rPr>
        <w:t>本期金额</w:t>
      </w:r>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091"/>
        <w:gridCol w:w="1275"/>
        <w:gridCol w:w="709"/>
        <w:gridCol w:w="709"/>
        <w:gridCol w:w="567"/>
        <w:gridCol w:w="1418"/>
        <w:gridCol w:w="851"/>
        <w:gridCol w:w="851"/>
        <w:gridCol w:w="1134"/>
        <w:gridCol w:w="1276"/>
        <w:gridCol w:w="1276"/>
        <w:gridCol w:w="567"/>
        <w:gridCol w:w="145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262" w:type="pct"/>
            <w:gridSpan w:val="1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2022年度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45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股本</w:t>
            </w:r>
          </w:p>
        </w:tc>
        <w:tc>
          <w:tcPr>
            <w:tcW w:w="700" w:type="pct"/>
            <w:gridSpan w:val="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其他权益工具</w:t>
            </w:r>
          </w:p>
        </w:tc>
        <w:tc>
          <w:tcPr>
            <w:tcW w:w="50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资本公积</w:t>
            </w:r>
          </w:p>
        </w:tc>
        <w:tc>
          <w:tcPr>
            <w:tcW w:w="30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减：库存股</w:t>
            </w:r>
          </w:p>
        </w:tc>
        <w:tc>
          <w:tcPr>
            <w:tcW w:w="30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其他综合收益</w:t>
            </w:r>
          </w:p>
        </w:tc>
        <w:tc>
          <w:tcPr>
            <w:tcW w:w="40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专项储备</w:t>
            </w:r>
          </w:p>
        </w:tc>
        <w:tc>
          <w:tcPr>
            <w:tcW w:w="45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盈余公积</w:t>
            </w:r>
          </w:p>
        </w:tc>
        <w:tc>
          <w:tcPr>
            <w:tcW w:w="45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未分配利润</w:t>
            </w:r>
          </w:p>
        </w:tc>
        <w:tc>
          <w:tcPr>
            <w:tcW w:w="20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512"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所有者权益合计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45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50"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优先股</w:t>
            </w:r>
          </w:p>
        </w:tc>
        <w:tc>
          <w:tcPr>
            <w:tcW w:w="250"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永续债</w:t>
            </w:r>
          </w:p>
        </w:tc>
        <w:tc>
          <w:tcPr>
            <w:tcW w:w="200"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50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0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0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400" w:type="pct"/>
            <w:vMerge w:val="continue"/>
            <w:tcBorders>
              <w:top w:val="single" w:color="auto" w:sz="2" w:space="0"/>
              <w:left w:val="single" w:color="auto" w:sz="2" w:space="0"/>
              <w:bottom w:val="single" w:color="auto" w:sz="2" w:space="0"/>
              <w:right w:val="single" w:color="auto" w:sz="2" w:space="0"/>
            </w:tcBorders>
            <w:vAlign w:val="center"/>
          </w:tcPr>
          <w:p/>
        </w:tc>
        <w:tc>
          <w:tcPr>
            <w:tcW w:w="45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45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00" w:type="pct"/>
            <w:vMerge w:val="continue"/>
            <w:tcBorders>
              <w:top w:val="single" w:color="auto" w:sz="2" w:space="0"/>
              <w:left w:val="single" w:color="auto" w:sz="2" w:space="0"/>
              <w:bottom w:val="single" w:color="auto" w:sz="2" w:space="0"/>
              <w:right w:val="single" w:color="auto" w:sz="2" w:space="0"/>
            </w:tcBorders>
            <w:vAlign w:val="center"/>
          </w:tcPr>
          <w:p/>
        </w:tc>
        <w:tc>
          <w:tcPr>
            <w:tcW w:w="512"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一、上年期末余额</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175,086,914.74</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4,751,806.92</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147,517,451.75</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662,423,216.16</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2,029,812,651.57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加：会计政策变更</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color w:val="FF0000"/>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前期差错更正</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其他</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二、本年期初余额</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175,086,914.74</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4,751,806.92</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147,517,451.75</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662,423,216.16</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2,029,812,651.57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三、本期增减变动金额（减少以“－”号填列）</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1,088,053.04</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236,792.32</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18,549,966.73</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135,748,702.68</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155,623,514.77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（一）综合收益总额</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185,499,667.27</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185,499,667.27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（二）所有者投入和减少资本</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1,088,053.04</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1,088,053.04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1．所有者投入的普通股</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1,088,053.04</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1,088,053.04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2．其他权益工具持有者投入资本</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3．股份支付计入所有者权益的金额</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4．其他</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（三）利润分配</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18,549,966.73</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-49,750,964.59</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-31,200,997.86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1．提取盈余公积</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18,549,966.73</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-18,549,966.73</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2．对所有者（或股东）的分配</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-31,200,997.86</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-31,200,997.86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3．其他</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（四）所有者权益内部结转</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1．资本公积转增资本（或股本）</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2．盈余公积转增资本（或股本）</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3．盈余公积弥补亏损</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4．设定受益计划变动额结转留存收益</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5．其他综合收益结转留存收益</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6．其他</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（五）专项储备</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236,792.32</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236,792.32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1．本期提取</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236,792.32</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236,792.32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2．本期使用</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（六）其他</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四、本期期末余额</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176,174,967.78</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4,988,599.24</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166,067,418.48</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798,171,918.84</w:t>
            </w:r>
          </w:p>
        </w:tc>
        <w:tc>
          <w:tcPr>
            <w:tcW w:w="2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2,185,436,166.34</w:t>
            </w:r>
          </w:p>
        </w:tc>
      </w:tr>
    </w:tbl>
    <w:p>
      <w:pPr>
        <w:spacing w:before="40" w:after="40" w:line="240" w:lineRule="exact"/>
        <w:rPr>
          <w:rFonts w:ascii="宋体" w:hAnsi="宋体" w:eastAsia="宋体" w:cs="宋体"/>
          <w:sz w:val="18"/>
          <w:szCs w:val="18"/>
        </w:rPr>
      </w:pPr>
      <w:r>
        <w:rPr>
          <w:rFonts w:ascii="宋体" w:hAnsi="宋体" w:eastAsia="宋体" w:cs="宋体"/>
          <w:sz w:val="18"/>
          <w:szCs w:val="18"/>
        </w:rPr>
        <w:t>上期金额</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375"/>
        <w:gridCol w:w="1418"/>
        <w:gridCol w:w="703"/>
        <w:gridCol w:w="709"/>
        <w:gridCol w:w="570"/>
        <w:gridCol w:w="1134"/>
        <w:gridCol w:w="851"/>
        <w:gridCol w:w="851"/>
        <w:gridCol w:w="1134"/>
        <w:gridCol w:w="1276"/>
        <w:gridCol w:w="1276"/>
        <w:gridCol w:w="425"/>
        <w:gridCol w:w="145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162" w:type="pct"/>
            <w:gridSpan w:val="1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2021年度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50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股本</w:t>
            </w:r>
          </w:p>
        </w:tc>
        <w:tc>
          <w:tcPr>
            <w:tcW w:w="699" w:type="pct"/>
            <w:gridSpan w:val="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其他权益工具</w:t>
            </w:r>
          </w:p>
        </w:tc>
        <w:tc>
          <w:tcPr>
            <w:tcW w:w="40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资本公积</w:t>
            </w:r>
          </w:p>
        </w:tc>
        <w:tc>
          <w:tcPr>
            <w:tcW w:w="30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减：库存股</w:t>
            </w:r>
          </w:p>
        </w:tc>
        <w:tc>
          <w:tcPr>
            <w:tcW w:w="30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其他综合收益</w:t>
            </w:r>
          </w:p>
        </w:tc>
        <w:tc>
          <w:tcPr>
            <w:tcW w:w="40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专项储备</w:t>
            </w:r>
          </w:p>
        </w:tc>
        <w:tc>
          <w:tcPr>
            <w:tcW w:w="45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盈余公积</w:t>
            </w:r>
          </w:p>
        </w:tc>
        <w:tc>
          <w:tcPr>
            <w:tcW w:w="45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未分配利润</w:t>
            </w:r>
          </w:p>
        </w:tc>
        <w:tc>
          <w:tcPr>
            <w:tcW w:w="150"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512" w:type="pct"/>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所有者权益合计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50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4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优先股</w:t>
            </w:r>
          </w:p>
        </w:tc>
        <w:tc>
          <w:tcPr>
            <w:tcW w:w="250"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永续债</w:t>
            </w:r>
          </w:p>
        </w:tc>
        <w:tc>
          <w:tcPr>
            <w:tcW w:w="201"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40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0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0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400" w:type="pct"/>
            <w:vMerge w:val="continue"/>
            <w:tcBorders>
              <w:top w:val="single" w:color="auto" w:sz="2" w:space="0"/>
              <w:left w:val="single" w:color="auto" w:sz="2" w:space="0"/>
              <w:bottom w:val="single" w:color="auto" w:sz="2" w:space="0"/>
              <w:right w:val="single" w:color="auto" w:sz="2" w:space="0"/>
            </w:tcBorders>
            <w:vAlign w:val="center"/>
          </w:tcPr>
          <w:p/>
        </w:tc>
        <w:tc>
          <w:tcPr>
            <w:tcW w:w="45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450"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50" w:type="pct"/>
            <w:vMerge w:val="continue"/>
            <w:tcBorders>
              <w:top w:val="single" w:color="auto" w:sz="2" w:space="0"/>
              <w:left w:val="single" w:color="auto" w:sz="2" w:space="0"/>
              <w:bottom w:val="single" w:color="auto" w:sz="2" w:space="0"/>
              <w:right w:val="single" w:color="auto" w:sz="2" w:space="0"/>
            </w:tcBorders>
            <w:vAlign w:val="center"/>
          </w:tcPr>
          <w:p/>
        </w:tc>
        <w:tc>
          <w:tcPr>
            <w:tcW w:w="512" w:type="pct"/>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一、上年期末余额</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79,584,557.63</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4,751,806.92</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132,613,959.84</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569,893,119.41</w:t>
            </w: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1,826,876,705.80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加：会计政策变更</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前期差错更正</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3"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其他</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二、本年期初余额</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79,584,557.63</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4,751,806.92</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132,613,959.84</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569,893,119.41</w:t>
            </w: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1,826,876,705.80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三、本期增减变动金额（减少以“－”号填列）</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95,502,357.11</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14,903,491.91</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92,530,096.75</w:t>
            </w: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202,935,945.77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（一）综合收益总额</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149,034,919.14</w:t>
            </w: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149,034,919.14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（二）所有者投入和减少资本</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1．所有者投入的普通股</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2．其他权益工具持有者投入资本</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3．股份支付计入所有者权益的金额</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4．其他</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26"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（三）利润分配</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14,903,491.91</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-56,504,822.39</w:t>
            </w: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-41,601,330.48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1．提取盈余公积</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14,903,491.91</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-14,903,491.91</w:t>
            </w: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2．对所有者（或股东）的分配</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-41,601,330.48</w:t>
            </w: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-41,601,330.48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3．其他</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（四）所有者权益内部结转</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1．资本公积转增资本（或股本）</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2．盈余公积转增资本（或股本）</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3．盈余公积弥补亏损</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4．设定受益计划变动额结转留存收益</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5．其他综合收益结转留存收益</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6．其他</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（五）专项储备</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1．本期提取</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2．本期使用</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91"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（六）其他</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95,502,357.11</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95,502,357.11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38" w:type="pc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四、本期期末余额</w:t>
            </w:r>
          </w:p>
        </w:tc>
        <w:tc>
          <w:tcPr>
            <w:tcW w:w="5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c>
          <w:tcPr>
            <w:tcW w:w="248"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01"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175,086,914.74</w:t>
            </w: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40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4,751,806.92</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147,517,451.75</w:t>
            </w:r>
          </w:p>
        </w:tc>
        <w:tc>
          <w:tcPr>
            <w:tcW w:w="4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662,423,216.16</w:t>
            </w:r>
          </w:p>
        </w:tc>
        <w:tc>
          <w:tcPr>
            <w:tcW w:w="150"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12" w:type="pct"/>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2,029,812,651.57</w:t>
            </w:r>
          </w:p>
        </w:tc>
      </w:tr>
    </w:tbl>
    <w:p>
      <w:pPr>
        <w:pStyle w:val="3"/>
        <w:spacing w:before="300" w:after="300" w:line="320" w:lineRule="exact"/>
        <w:rPr>
          <w:rFonts w:ascii="宋体" w:hAnsi="宋体" w:eastAsia="宋体" w:cs="宋体"/>
          <w:b/>
          <w:bCs/>
          <w:sz w:val="24"/>
          <w:szCs w:val="24"/>
        </w:rPr>
        <w:sectPr>
          <w:pgSz w:w="16840" w:h="11905" w:orient="landscape"/>
          <w:pgMar w:top="1134" w:right="1440" w:bottom="1134" w:left="1440" w:header="851" w:footer="992" w:gutter="0"/>
          <w:cols w:space="720" w:num="1"/>
          <w:docGrid w:type="lines" w:linePitch="312" w:charSpace="0"/>
        </w:sectPr>
      </w:pPr>
      <w:bookmarkStart w:id="157" w:name="_Toc989043"/>
    </w:p>
    <w:p>
      <w:pPr>
        <w:pStyle w:val="3"/>
        <w:spacing w:before="300" w:after="300" w:line="320" w:lineRule="exact"/>
        <w:rPr>
          <w:rFonts w:ascii="宋体" w:hAnsi="宋体" w:eastAsia="宋体" w:cs="宋体"/>
          <w:b/>
          <w:bCs/>
          <w:sz w:val="24"/>
          <w:szCs w:val="24"/>
        </w:rPr>
      </w:pPr>
      <w:r>
        <w:rPr>
          <w:rFonts w:ascii="宋体" w:hAnsi="宋体" w:eastAsia="宋体" w:cs="宋体"/>
          <w:b/>
          <w:bCs/>
          <w:sz w:val="24"/>
          <w:szCs w:val="24"/>
        </w:rPr>
        <w:t>三、公司基本情况</w:t>
      </w:r>
      <w:bookmarkEnd w:id="157"/>
    </w:p>
    <w:p>
      <w:pPr>
        <w:pStyle w:val="11"/>
        <w:spacing w:before="40" w:beforeAutospacing="0" w:after="40" w:afterAutospacing="0"/>
        <w:ind w:firstLine="357"/>
        <w:rPr>
          <w:rFonts w:ascii="等线" w:hAnsi="等线" w:eastAsia="等线"/>
          <w:sz w:val="21"/>
          <w:szCs w:val="21"/>
        </w:rPr>
      </w:pPr>
      <w:r>
        <w:rPr>
          <w:rFonts w:ascii="Times New Roman" w:hAnsi="Times New Roman" w:eastAsia="等线" w:cs="Times New Roman"/>
          <w:sz w:val="18"/>
          <w:szCs w:val="18"/>
        </w:rPr>
        <w:t>1</w:t>
      </w:r>
      <w:r>
        <w:rPr>
          <w:rFonts w:hint="eastAsia"/>
          <w:sz w:val="18"/>
          <w:szCs w:val="18"/>
        </w:rPr>
        <w:t>、公司历史沿革</w:t>
      </w:r>
    </w:p>
    <w:p>
      <w:pPr>
        <w:pStyle w:val="11"/>
        <w:spacing w:before="40" w:beforeAutospacing="0" w:after="40" w:afterAutospacing="0"/>
        <w:ind w:firstLine="360"/>
        <w:rPr>
          <w:rFonts w:ascii="等线" w:hAnsi="等线" w:eastAsia="等线"/>
          <w:sz w:val="21"/>
          <w:szCs w:val="21"/>
        </w:rPr>
      </w:pPr>
      <w:r>
        <w:rPr>
          <w:rFonts w:hint="eastAsia"/>
          <w:sz w:val="18"/>
          <w:szCs w:val="18"/>
        </w:rPr>
        <w:t>三川智慧科技股份有限公司（以下简称</w:t>
      </w:r>
      <w:r>
        <w:rPr>
          <w:rFonts w:ascii="Times New Roman" w:hAnsi="Times New Roman" w:eastAsia="等线" w:cs="Times New Roman"/>
          <w:sz w:val="18"/>
          <w:szCs w:val="18"/>
        </w:rPr>
        <w:t>“</w:t>
      </w:r>
      <w:r>
        <w:rPr>
          <w:rFonts w:hint="eastAsia"/>
          <w:sz w:val="18"/>
          <w:szCs w:val="18"/>
        </w:rPr>
        <w:t>公司</w:t>
      </w:r>
      <w:r>
        <w:rPr>
          <w:rFonts w:ascii="Times New Roman" w:hAnsi="Times New Roman" w:eastAsia="等线" w:cs="Times New Roman"/>
          <w:sz w:val="18"/>
          <w:szCs w:val="18"/>
        </w:rPr>
        <w:t>”</w:t>
      </w:r>
      <w:r>
        <w:rPr>
          <w:rFonts w:hint="eastAsia"/>
          <w:sz w:val="18"/>
          <w:szCs w:val="18"/>
        </w:rPr>
        <w:t>或</w:t>
      </w:r>
      <w:r>
        <w:rPr>
          <w:rFonts w:ascii="Times New Roman" w:hAnsi="Times New Roman" w:eastAsia="等线" w:cs="Times New Roman"/>
          <w:sz w:val="18"/>
          <w:szCs w:val="18"/>
        </w:rPr>
        <w:t>“</w:t>
      </w:r>
      <w:r>
        <w:rPr>
          <w:rFonts w:hint="eastAsia"/>
          <w:sz w:val="18"/>
          <w:szCs w:val="18"/>
        </w:rPr>
        <w:t>本公司</w:t>
      </w:r>
      <w:r>
        <w:rPr>
          <w:rFonts w:ascii="Times New Roman" w:hAnsi="Times New Roman" w:eastAsia="等线" w:cs="Times New Roman"/>
          <w:sz w:val="18"/>
          <w:szCs w:val="18"/>
        </w:rPr>
        <w:t>”</w:t>
      </w:r>
      <w:r>
        <w:rPr>
          <w:rFonts w:hint="eastAsia"/>
          <w:sz w:val="18"/>
          <w:szCs w:val="18"/>
        </w:rPr>
        <w:t>），持江西省鹰潭市市场和质量监督管理局核发的统一社会信用代码为</w:t>
      </w:r>
      <w:r>
        <w:rPr>
          <w:rFonts w:ascii="Times New Roman" w:hAnsi="Times New Roman" w:eastAsia="等线" w:cs="Times New Roman"/>
          <w:sz w:val="18"/>
          <w:szCs w:val="18"/>
        </w:rPr>
        <w:t>91360600759986995D</w:t>
      </w:r>
      <w:r>
        <w:rPr>
          <w:rFonts w:hint="eastAsia"/>
          <w:sz w:val="18"/>
          <w:szCs w:val="18"/>
        </w:rPr>
        <w:t>的营业执照。</w:t>
      </w:r>
    </w:p>
    <w:p>
      <w:pPr>
        <w:pStyle w:val="11"/>
        <w:spacing w:before="40" w:beforeAutospacing="0" w:after="40" w:afterAutospacing="0"/>
        <w:ind w:firstLine="360"/>
        <w:rPr>
          <w:rFonts w:ascii="等线" w:hAnsi="等线" w:eastAsia="等线"/>
          <w:sz w:val="21"/>
          <w:szCs w:val="21"/>
        </w:rPr>
      </w:pPr>
      <w:r>
        <w:rPr>
          <w:rFonts w:hint="eastAsia"/>
          <w:sz w:val="18"/>
          <w:szCs w:val="18"/>
        </w:rPr>
        <w:t>公司注册地址：江西省鹰潭高新区龙岗片区三川水工产业园；</w:t>
      </w:r>
    </w:p>
    <w:p>
      <w:pPr>
        <w:pStyle w:val="11"/>
        <w:spacing w:before="40" w:beforeAutospacing="0" w:after="40" w:afterAutospacing="0"/>
        <w:ind w:firstLine="360"/>
        <w:rPr>
          <w:rFonts w:ascii="等线" w:hAnsi="等线" w:eastAsia="等线"/>
          <w:sz w:val="21"/>
          <w:szCs w:val="21"/>
        </w:rPr>
      </w:pPr>
      <w:r>
        <w:rPr>
          <w:rFonts w:hint="eastAsia"/>
          <w:sz w:val="18"/>
          <w:szCs w:val="18"/>
        </w:rPr>
        <w:t>公司总部注册地址：江西省鹰潭高新区龙岗片区三川水工产业园；</w:t>
      </w:r>
    </w:p>
    <w:p>
      <w:pPr>
        <w:pStyle w:val="11"/>
        <w:spacing w:before="40" w:beforeAutospacing="0" w:after="40" w:afterAutospacing="0"/>
        <w:ind w:firstLine="360"/>
        <w:rPr>
          <w:rFonts w:ascii="等线" w:hAnsi="等线" w:eastAsia="等线"/>
          <w:sz w:val="21"/>
          <w:szCs w:val="21"/>
        </w:rPr>
      </w:pPr>
      <w:r>
        <w:rPr>
          <w:rFonts w:hint="eastAsia"/>
          <w:sz w:val="18"/>
          <w:szCs w:val="18"/>
        </w:rPr>
        <w:t>公司办公地址：江西省鹰潭高新区龙岗片区三川水工产业园；</w:t>
      </w:r>
    </w:p>
    <w:p>
      <w:pPr>
        <w:pStyle w:val="11"/>
        <w:spacing w:before="40" w:beforeAutospacing="0" w:after="40" w:afterAutospacing="0"/>
        <w:ind w:firstLine="360"/>
        <w:rPr>
          <w:rFonts w:ascii="等线" w:hAnsi="等线" w:eastAsia="等线"/>
          <w:sz w:val="21"/>
          <w:szCs w:val="21"/>
        </w:rPr>
      </w:pPr>
      <w:r>
        <w:rPr>
          <w:rFonts w:hint="eastAsia"/>
          <w:sz w:val="18"/>
          <w:szCs w:val="18"/>
        </w:rPr>
        <w:t>企业法定代表人：李建林；</w:t>
      </w:r>
    </w:p>
    <w:p>
      <w:pPr>
        <w:pStyle w:val="11"/>
        <w:spacing w:before="40" w:beforeAutospacing="0" w:after="40" w:afterAutospacing="0"/>
        <w:ind w:firstLine="360"/>
        <w:rPr>
          <w:rFonts w:ascii="等线" w:hAnsi="等线" w:eastAsia="等线"/>
          <w:sz w:val="21"/>
          <w:szCs w:val="21"/>
        </w:rPr>
      </w:pPr>
      <w:r>
        <w:rPr>
          <w:rFonts w:hint="eastAsia"/>
          <w:sz w:val="18"/>
          <w:szCs w:val="18"/>
        </w:rPr>
        <w:t>公司注册资本：1,040,033,262.00元；</w:t>
      </w:r>
    </w:p>
    <w:p>
      <w:pPr>
        <w:pStyle w:val="11"/>
        <w:spacing w:before="40" w:beforeAutospacing="0" w:after="40" w:afterAutospacing="0"/>
        <w:ind w:firstLine="360"/>
        <w:rPr>
          <w:rFonts w:ascii="等线" w:hAnsi="等线" w:eastAsia="等线"/>
          <w:sz w:val="21"/>
          <w:szCs w:val="21"/>
        </w:rPr>
      </w:pPr>
      <w:r>
        <w:rPr>
          <w:rFonts w:hint="eastAsia"/>
          <w:sz w:val="18"/>
          <w:szCs w:val="18"/>
        </w:rPr>
        <w:t>本公司成立于2004年5月13日，成立时注册资本2,578万元，其后经过多次增资，至2009年6月，本公司股本增至3,900万元。2010年3月8日，公司经中国证券监督管理委员会证监许可［2010］269号《关于核准江西三川水表股份有限公司首次公开发行股票并在创业板上市的批复》文件核准，向社会公开发行人民币普通股1,300万股(每股面值1元)。此次公开发行增加公司股本1,300万元，发行后总股本为5,200万元。</w:t>
      </w:r>
    </w:p>
    <w:p>
      <w:pPr>
        <w:pStyle w:val="11"/>
        <w:spacing w:before="40" w:beforeAutospacing="0" w:after="40" w:afterAutospacing="0"/>
        <w:ind w:firstLine="360"/>
        <w:rPr>
          <w:rFonts w:ascii="等线" w:hAnsi="等线" w:eastAsia="等线"/>
          <w:sz w:val="21"/>
          <w:szCs w:val="21"/>
        </w:rPr>
      </w:pPr>
      <w:r>
        <w:rPr>
          <w:rFonts w:hint="eastAsia"/>
          <w:sz w:val="18"/>
          <w:szCs w:val="18"/>
        </w:rPr>
        <w:t>2011年4月19日，根据公司2010年度股东大会决议通过的《2010年度利润分配及资本公积金转增股本方案》规定，以2010年12月31日的总股本5,200万股为基数，以资本公积金每10股转增10股，申请增加注册资本5,200万元；变更后的注册资本为10,400万元，股本为10,400万元。</w:t>
      </w:r>
    </w:p>
    <w:p>
      <w:pPr>
        <w:pStyle w:val="11"/>
        <w:spacing w:before="40" w:beforeAutospacing="0" w:after="40" w:afterAutospacing="0"/>
        <w:ind w:firstLine="360"/>
        <w:rPr>
          <w:rFonts w:ascii="等线" w:hAnsi="等线" w:eastAsia="等线"/>
          <w:sz w:val="21"/>
          <w:szCs w:val="21"/>
        </w:rPr>
      </w:pPr>
      <w:r>
        <w:rPr>
          <w:rFonts w:hint="eastAsia"/>
          <w:sz w:val="18"/>
          <w:szCs w:val="18"/>
        </w:rPr>
        <w:t>2012年4月17日，根据公司2011年度股东大会决议通过的《2011年度利润分配及资本公积金转增股本方案》规定，公司以2011年12月31日的总股本10,400万股为基数，以资本公积金每10股转增5股，申请增加注册资本5,200万元；变更后的注册资本为15,600万元，股本为15,600万元。</w:t>
      </w:r>
    </w:p>
    <w:p>
      <w:pPr>
        <w:pStyle w:val="11"/>
        <w:spacing w:before="40" w:beforeAutospacing="0" w:after="40" w:afterAutospacing="0"/>
        <w:ind w:firstLine="360"/>
        <w:rPr>
          <w:rFonts w:ascii="等线" w:hAnsi="等线" w:eastAsia="等线"/>
          <w:sz w:val="21"/>
          <w:szCs w:val="21"/>
        </w:rPr>
      </w:pPr>
      <w:r>
        <w:rPr>
          <w:rFonts w:hint="eastAsia"/>
          <w:sz w:val="18"/>
          <w:szCs w:val="18"/>
        </w:rPr>
        <w:t>2013年2月25日，根据公司2013年第一次临时股东大会通过的《首期股权激励计划（草案修订稿）》及公司第三届董事会第二十三次会议审议通过的《关于调整首期股权激励对象及授予数量的议案》、《关于向激励对象授予限制性股票的议案》规定，本公司以自有资金从二级市场自行回购本公司股票700,042股，减少股本700,042股；以0元/股的价格授予143名激励对象674,800股限制性股票，增加股本674,800股；剩余未授予25,242股的股票由公司注销，此次变更后的注册资本为15,597.4758万元，股本为15,597.4758万元。</w:t>
      </w:r>
    </w:p>
    <w:p>
      <w:pPr>
        <w:pStyle w:val="11"/>
        <w:spacing w:before="40" w:beforeAutospacing="0" w:after="40" w:afterAutospacing="0"/>
        <w:ind w:firstLine="360"/>
        <w:rPr>
          <w:rFonts w:ascii="等线" w:hAnsi="等线" w:eastAsia="等线"/>
          <w:sz w:val="21"/>
          <w:szCs w:val="21"/>
        </w:rPr>
      </w:pPr>
      <w:r>
        <w:rPr>
          <w:rFonts w:hint="eastAsia"/>
          <w:sz w:val="18"/>
          <w:szCs w:val="18"/>
        </w:rPr>
        <w:t>2014年4月9日，根据公司第三届董事会第三十一次会议审议通过的《关于第二次调整首期股权激励计划激励对象名单的议案》规定，对不符合条件的离职人员获授的限制性股票进行回购注销，共回购16,500股。本次限制性股票回购注销完成后，公司股本变更为15,595.8258万股，变更后注册资本15,595.8258万元。</w:t>
      </w:r>
    </w:p>
    <w:p>
      <w:pPr>
        <w:pStyle w:val="11"/>
        <w:spacing w:before="40" w:beforeAutospacing="0" w:after="40" w:afterAutospacing="0"/>
        <w:ind w:firstLine="360"/>
        <w:rPr>
          <w:rFonts w:ascii="等线" w:hAnsi="等线" w:eastAsia="等线"/>
          <w:sz w:val="21"/>
          <w:szCs w:val="21"/>
        </w:rPr>
      </w:pPr>
      <w:r>
        <w:rPr>
          <w:rFonts w:hint="eastAsia"/>
          <w:sz w:val="18"/>
          <w:szCs w:val="18"/>
        </w:rPr>
        <w:t>2014年4月29日，根据公司2013年度股东大会审议通过的《2013年度利润分配及资本公积金转增股本方案》规定，以公司总股本155,958,258股为基数，以资本公积金向全体股东每10股转增6.000634股，增加股本9,358.4842万股，变更后的总股本为24,954.31万股，变更后注册资本24,954.31万元。</w:t>
      </w:r>
    </w:p>
    <w:p>
      <w:pPr>
        <w:pStyle w:val="11"/>
        <w:spacing w:before="40" w:beforeAutospacing="0" w:after="40" w:afterAutospacing="0"/>
        <w:ind w:firstLine="360"/>
        <w:rPr>
          <w:rFonts w:ascii="等线" w:hAnsi="等线" w:eastAsia="等线"/>
          <w:sz w:val="21"/>
          <w:szCs w:val="21"/>
        </w:rPr>
      </w:pPr>
      <w:r>
        <w:rPr>
          <w:rFonts w:hint="eastAsia"/>
          <w:sz w:val="18"/>
          <w:szCs w:val="18"/>
        </w:rPr>
        <w:t>2015年3月26日，根据公司第四届董事会第七次会议审议通过的《关于回购注销不符合条件的激励对象已获授但尚未解锁的限制性股票的议案》规定，回购注销不符合条件的激励对象已获授但尚未解锁的限制性股票4,640股。本次限制性股票回购注销完成后，公司股本变更为24,953.846万股，变更后注册资本24,953.846万元。</w:t>
      </w:r>
    </w:p>
    <w:p>
      <w:pPr>
        <w:pStyle w:val="11"/>
        <w:spacing w:before="40" w:beforeAutospacing="0" w:after="40" w:afterAutospacing="0"/>
        <w:ind w:firstLine="360"/>
        <w:rPr>
          <w:rFonts w:ascii="等线" w:hAnsi="等线" w:eastAsia="等线"/>
          <w:sz w:val="21"/>
          <w:szCs w:val="21"/>
        </w:rPr>
      </w:pPr>
      <w:r>
        <w:rPr>
          <w:rFonts w:hint="eastAsia"/>
          <w:sz w:val="18"/>
          <w:szCs w:val="18"/>
        </w:rPr>
        <w:t>2015年4月17日，根据公司2014年度股东大会审议通过的《2014年度利润分配及资本公积转增股本方案》规定，以2014年12月31日的总股本24,954.31万股为基数，以资本公积金每10股转增6股，合计转增股本14,972.5845万股，变更后的总股本为39,926.4305万股，变更后注册资本39,926.4305万元。</w:t>
      </w:r>
    </w:p>
    <w:p>
      <w:pPr>
        <w:pStyle w:val="11"/>
        <w:spacing w:before="40" w:beforeAutospacing="0" w:after="40" w:afterAutospacing="0"/>
        <w:ind w:firstLine="360"/>
        <w:rPr>
          <w:rFonts w:ascii="等线" w:hAnsi="等线" w:eastAsia="等线"/>
          <w:sz w:val="21"/>
          <w:szCs w:val="21"/>
        </w:rPr>
      </w:pPr>
      <w:r>
        <w:rPr>
          <w:rFonts w:hint="eastAsia"/>
          <w:sz w:val="18"/>
          <w:szCs w:val="18"/>
        </w:rPr>
        <w:t>2015年7月21日，公司经中国证券监督管理委员会证监许可[2015]1660号《关于核准江西三川水表股份有限公司非公开发行股票的批复》文件核准，公司非公开发行股份不超过1,678万股股票。此次非公开发行增加股本1,674.90万股，变更后的总股本为41,601.3305万股，变更后注册资本41,601.3305万元。</w:t>
      </w:r>
    </w:p>
    <w:p>
      <w:pPr>
        <w:pStyle w:val="11"/>
        <w:spacing w:before="40" w:beforeAutospacing="0" w:after="40" w:afterAutospacing="0"/>
        <w:ind w:firstLine="360"/>
        <w:rPr>
          <w:rFonts w:ascii="等线" w:hAnsi="等线" w:eastAsia="等线"/>
          <w:sz w:val="21"/>
          <w:szCs w:val="21"/>
        </w:rPr>
      </w:pPr>
      <w:r>
        <w:rPr>
          <w:rFonts w:hint="eastAsia"/>
          <w:sz w:val="18"/>
          <w:szCs w:val="18"/>
        </w:rPr>
        <w:t>2016年5月9日，根据公司2016年第一次临时股东大会决议通过的《关于调整2015年度利润分配及资本公积转增股本方案的议案》规定，以2015年12月31日总股本416,013,305股为基数，每10股送红股7股（含税），共计送红股291,209,313股；以资公积金向全体股东每10股转增8股，合计转增股本332,810,644股。变更后的总股本为1,040,033,262.00股，变更后注册资本1,040,033,262.00元。</w:t>
      </w:r>
    </w:p>
    <w:p>
      <w:pPr>
        <w:pStyle w:val="11"/>
        <w:spacing w:before="40" w:beforeAutospacing="0" w:after="40" w:afterAutospacing="0"/>
        <w:ind w:firstLine="360"/>
        <w:rPr>
          <w:rFonts w:ascii="等线" w:hAnsi="等线" w:eastAsia="等线"/>
          <w:sz w:val="21"/>
          <w:szCs w:val="21"/>
        </w:rPr>
      </w:pPr>
      <w:r>
        <w:rPr>
          <w:rFonts w:hint="eastAsia"/>
          <w:sz w:val="18"/>
          <w:szCs w:val="18"/>
        </w:rPr>
        <w:t>2、公司的行业性质和经营范围</w:t>
      </w:r>
    </w:p>
    <w:p>
      <w:pPr>
        <w:pStyle w:val="11"/>
        <w:spacing w:before="40" w:beforeAutospacing="0" w:after="40" w:afterAutospacing="0"/>
        <w:ind w:firstLine="360"/>
        <w:rPr>
          <w:rFonts w:ascii="等线" w:hAnsi="等线" w:eastAsia="等线"/>
          <w:sz w:val="21"/>
          <w:szCs w:val="21"/>
        </w:rPr>
      </w:pPr>
      <w:r>
        <w:rPr>
          <w:rFonts w:hint="eastAsia"/>
          <w:sz w:val="18"/>
          <w:szCs w:val="18"/>
        </w:rPr>
        <w:t>所处行业：本公司所处的行业为仪器仪表制造业。</w:t>
      </w:r>
    </w:p>
    <w:p>
      <w:pPr>
        <w:pStyle w:val="11"/>
        <w:spacing w:before="40" w:beforeAutospacing="0" w:after="40" w:afterAutospacing="0"/>
        <w:ind w:firstLine="360"/>
        <w:rPr>
          <w:rFonts w:ascii="等线" w:hAnsi="等线" w:eastAsia="等线"/>
          <w:sz w:val="21"/>
          <w:szCs w:val="21"/>
        </w:rPr>
      </w:pPr>
      <w:r>
        <w:rPr>
          <w:rFonts w:hint="eastAsia"/>
          <w:sz w:val="18"/>
          <w:szCs w:val="18"/>
        </w:rPr>
        <w:t>经营范围、主要产品及提供的劳务：机械水表、智能水表、仪器仪表、管材管件、阀门、净水设备的研发、生产、销售；通讯设备、电子配件、无线数据终端的生产、组装和销售；计算机软硬件及信息集成系统、公用事业自动化系统、水务自动化和信息化系统及通信技术、电子科技、信息科技、数据科技、网络科技领域内的技术开发、技术转让、技术咨询、技术服务；公共基础设施、管网工程、计算机网络工程、通讯工程、供排水及水处理工程的设计、施工、安装、调试、维修及技术咨询服务；经营本企业自产产品及技术的出口业务和本企业所需的机器设备、零配件、原辅材料及技术的进口业务(依法须经批准的项目,经相关部门批准后方可开展经营活动)。</w:t>
      </w:r>
    </w:p>
    <w:p>
      <w:pPr>
        <w:pStyle w:val="11"/>
        <w:spacing w:before="40" w:beforeAutospacing="0" w:after="40" w:afterAutospacing="0"/>
        <w:ind w:firstLine="360"/>
        <w:rPr>
          <w:rFonts w:ascii="等线" w:hAnsi="等线" w:eastAsia="等线"/>
          <w:sz w:val="21"/>
          <w:szCs w:val="21"/>
        </w:rPr>
      </w:pPr>
      <w:r>
        <w:rPr>
          <w:rFonts w:hint="eastAsia"/>
          <w:sz w:val="18"/>
          <w:szCs w:val="18"/>
        </w:rPr>
        <w:t>3、本公司的母公司及实际控制人</w:t>
      </w:r>
    </w:p>
    <w:p>
      <w:pPr>
        <w:pStyle w:val="11"/>
        <w:spacing w:before="40" w:beforeAutospacing="0" w:after="40" w:afterAutospacing="0"/>
        <w:ind w:firstLine="360"/>
        <w:rPr>
          <w:rFonts w:ascii="等线" w:hAnsi="等线" w:eastAsia="等线"/>
          <w:sz w:val="21"/>
          <w:szCs w:val="21"/>
        </w:rPr>
      </w:pPr>
      <w:r>
        <w:rPr>
          <w:rFonts w:hint="eastAsia"/>
          <w:sz w:val="18"/>
          <w:szCs w:val="18"/>
        </w:rPr>
        <w:t>本公司的母公司是江西三川集团有限公司，持有本公司35.84%股份。公司的实际控制人是李建林及李强祖父子。</w:t>
      </w:r>
    </w:p>
    <w:p>
      <w:pPr>
        <w:pStyle w:val="11"/>
        <w:spacing w:before="40" w:beforeAutospacing="0" w:after="40" w:afterAutospacing="0"/>
        <w:ind w:firstLine="360"/>
        <w:rPr>
          <w:rFonts w:ascii="等线" w:hAnsi="等线" w:eastAsia="等线"/>
          <w:sz w:val="21"/>
          <w:szCs w:val="21"/>
        </w:rPr>
      </w:pPr>
      <w:r>
        <w:rPr>
          <w:rFonts w:hint="eastAsia"/>
          <w:sz w:val="18"/>
          <w:szCs w:val="18"/>
        </w:rPr>
        <w:t>4、财务报告的批准</w:t>
      </w:r>
    </w:p>
    <w:p>
      <w:pPr>
        <w:pStyle w:val="11"/>
        <w:spacing w:before="40" w:beforeAutospacing="0" w:after="40" w:afterAutospacing="0"/>
        <w:ind w:firstLine="360"/>
        <w:rPr>
          <w:rFonts w:ascii="等线" w:hAnsi="等线" w:eastAsia="等线"/>
          <w:sz w:val="21"/>
          <w:szCs w:val="21"/>
        </w:rPr>
      </w:pPr>
      <w:r>
        <w:rPr>
          <w:rFonts w:hint="eastAsia"/>
          <w:sz w:val="18"/>
          <w:szCs w:val="18"/>
        </w:rPr>
        <w:t>本财务报告经公司董事会于2023年3月30日批准报出。</w:t>
      </w:r>
    </w:p>
    <w:p>
      <w:pPr>
        <w:pStyle w:val="11"/>
        <w:spacing w:before="40" w:beforeAutospacing="0" w:after="40" w:afterAutospacing="0"/>
        <w:ind w:firstLine="360"/>
        <w:rPr>
          <w:rFonts w:ascii="等线" w:hAnsi="等线" w:eastAsia="等线"/>
          <w:sz w:val="21"/>
          <w:szCs w:val="21"/>
        </w:rPr>
      </w:pPr>
      <w:r>
        <w:rPr>
          <w:rFonts w:hint="eastAsia"/>
          <w:sz w:val="18"/>
          <w:szCs w:val="18"/>
        </w:rPr>
        <w:t>本期纳入合并范围的子公司包括15家，具体见本附注八、“合并范围的变更”以及本附注九、“在其他主体中的权益”。</w:t>
      </w:r>
    </w:p>
    <w:p>
      <w:pPr>
        <w:pStyle w:val="3"/>
        <w:spacing w:before="300" w:after="300" w:line="320" w:lineRule="exact"/>
        <w:rPr>
          <w:rFonts w:ascii="宋体" w:hAnsi="宋体" w:eastAsia="宋体" w:cs="宋体"/>
          <w:b/>
          <w:bCs/>
          <w:sz w:val="24"/>
          <w:szCs w:val="24"/>
        </w:rPr>
      </w:pPr>
      <w:bookmarkStart w:id="158" w:name="_Toc989044"/>
      <w:r>
        <w:rPr>
          <w:rFonts w:ascii="宋体" w:hAnsi="宋体" w:eastAsia="宋体" w:cs="宋体"/>
          <w:b/>
          <w:bCs/>
          <w:sz w:val="24"/>
          <w:szCs w:val="24"/>
        </w:rPr>
        <w:t>四、财务报表的编制基础</w:t>
      </w:r>
      <w:bookmarkEnd w:id="158"/>
    </w:p>
    <w:p>
      <w:pPr>
        <w:pStyle w:val="4"/>
        <w:spacing w:line="280" w:lineRule="exact"/>
        <w:jc w:val="left"/>
        <w:rPr>
          <w:rFonts w:ascii="宋体" w:hAnsi="宋体" w:cs="宋体"/>
          <w:b/>
          <w:bCs/>
        </w:rPr>
      </w:pPr>
      <w:bookmarkStart w:id="159" w:name="_Toc989045"/>
      <w:r>
        <w:rPr>
          <w:rFonts w:ascii="宋体" w:hAnsi="宋体" w:cs="宋体"/>
          <w:b/>
          <w:bCs/>
        </w:rPr>
        <w:t>1、编制基础</w:t>
      </w:r>
      <w:bookmarkEnd w:id="159"/>
    </w:p>
    <w:p>
      <w:pPr>
        <w:pStyle w:val="11"/>
        <w:spacing w:before="40" w:beforeAutospacing="0" w:after="40" w:afterAutospacing="0"/>
        <w:ind w:firstLine="360"/>
        <w:rPr>
          <w:rFonts w:ascii="等线" w:hAnsi="等线" w:eastAsia="等线"/>
          <w:sz w:val="21"/>
          <w:szCs w:val="21"/>
        </w:rPr>
      </w:pPr>
      <w:r>
        <w:rPr>
          <w:rFonts w:hint="eastAsia"/>
          <w:sz w:val="18"/>
          <w:szCs w:val="18"/>
        </w:rPr>
        <w:t>公司根据实际发生的交易和事项，按照财政部发布的《企业会计准则—基本准则》以及其后颁布及修订的具体会计准则、企业会计准则应用指南、企业会计准则解释及其他相关规定（统称“企业会计准则”），以及中国证券监督管理委员会《公开发行证券的公司信息披露编报规则第15号——财务报告的一般规定》(2014年修订)的披露规定编制财务报表。</w:t>
      </w:r>
    </w:p>
    <w:p>
      <w:pPr>
        <w:pStyle w:val="4"/>
        <w:spacing w:line="280" w:lineRule="exact"/>
        <w:jc w:val="left"/>
        <w:rPr>
          <w:rFonts w:ascii="宋体" w:hAnsi="宋体" w:cs="宋体"/>
          <w:b/>
          <w:bCs/>
        </w:rPr>
      </w:pPr>
      <w:bookmarkStart w:id="160" w:name="_Toc989046"/>
      <w:r>
        <w:rPr>
          <w:rFonts w:ascii="宋体" w:hAnsi="宋体" w:cs="宋体"/>
          <w:b/>
          <w:bCs/>
        </w:rPr>
        <w:t>2、持续经营</w:t>
      </w:r>
      <w:bookmarkEnd w:id="160"/>
    </w:p>
    <w:p>
      <w:pPr>
        <w:pStyle w:val="11"/>
        <w:spacing w:before="40" w:beforeAutospacing="0" w:after="40" w:afterAutospacing="0"/>
        <w:ind w:firstLine="360"/>
        <w:rPr>
          <w:sz w:val="18"/>
          <w:szCs w:val="18"/>
        </w:rPr>
      </w:pPr>
      <w:r>
        <w:rPr>
          <w:rFonts w:hint="eastAsia"/>
          <w:sz w:val="18"/>
          <w:szCs w:val="18"/>
        </w:rPr>
        <w:t>公司对报告期末起</w:t>
      </w:r>
      <w:r>
        <w:rPr>
          <w:sz w:val="18"/>
          <w:szCs w:val="18"/>
        </w:rPr>
        <w:t>12</w:t>
      </w:r>
      <w:r>
        <w:rPr>
          <w:rFonts w:hint="eastAsia"/>
          <w:sz w:val="18"/>
          <w:szCs w:val="18"/>
        </w:rPr>
        <w:t>个月的持续经营能力进行了评价，未发现对持续经营能力产生重大怀疑的事项或情况。因此，本财务报表系在持续经营假设的基础上编制。</w:t>
      </w:r>
    </w:p>
    <w:p>
      <w:pPr>
        <w:pStyle w:val="3"/>
        <w:spacing w:before="300" w:after="300" w:line="560" w:lineRule="exact"/>
        <w:rPr>
          <w:rFonts w:ascii="宋体" w:hAnsi="宋体" w:eastAsia="宋体" w:cs="宋体"/>
          <w:b/>
          <w:bCs/>
          <w:sz w:val="24"/>
          <w:szCs w:val="24"/>
        </w:rPr>
      </w:pPr>
      <w:bookmarkStart w:id="161" w:name="_Toc989047"/>
      <w:r>
        <w:rPr>
          <w:rFonts w:ascii="宋体" w:hAnsi="宋体" w:eastAsia="宋体" w:cs="宋体"/>
          <w:b/>
          <w:bCs/>
          <w:sz w:val="24"/>
          <w:szCs w:val="24"/>
        </w:rPr>
        <w:t>五、重要会计政策及会计估计</w:t>
      </w:r>
      <w:bookmarkEnd w:id="161"/>
    </w:p>
    <w:p>
      <w:pPr>
        <w:spacing w:before="100" w:after="100" w:line="240" w:lineRule="exact"/>
        <w:rPr>
          <w:rFonts w:ascii="宋体" w:hAnsi="宋体" w:eastAsia="宋体" w:cs="宋体"/>
          <w:sz w:val="18"/>
          <w:szCs w:val="18"/>
        </w:rPr>
      </w:pPr>
      <w:r>
        <w:rPr>
          <w:rFonts w:ascii="宋体" w:hAnsi="宋体" w:eastAsia="宋体" w:cs="宋体"/>
          <w:sz w:val="18"/>
          <w:szCs w:val="18"/>
        </w:rPr>
        <w:t>具体会计政策和会计估计提示：</w:t>
      </w:r>
    </w:p>
    <w:p>
      <w:pPr>
        <w:pStyle w:val="11"/>
        <w:spacing w:before="40" w:beforeAutospacing="0" w:after="40" w:afterAutospacing="0"/>
        <w:ind w:firstLine="360"/>
        <w:rPr>
          <w:rFonts w:ascii="Times New Roman" w:hAnsi="Times New Roman" w:cs="Times New Roman"/>
          <w:sz w:val="18"/>
          <w:szCs w:val="18"/>
        </w:rPr>
      </w:pPr>
      <w:r>
        <w:rPr>
          <w:rFonts w:hint="eastAsia" w:cs="Times New Roman"/>
          <w:sz w:val="18"/>
          <w:szCs w:val="18"/>
        </w:rPr>
        <w:t>本公司根据实际生产经营特点，依据相关企业会计准则的规定，对收入确认等交易和事项制定了若干项具体会计政策和会计估计，详见本附注五、</w:t>
      </w:r>
      <w:r>
        <w:rPr>
          <w:rFonts w:ascii="Times New Roman" w:hAnsi="Times New Roman" w:cs="Times New Roman"/>
          <w:sz w:val="18"/>
          <w:szCs w:val="18"/>
        </w:rPr>
        <w:t>31“</w:t>
      </w:r>
      <w:r>
        <w:rPr>
          <w:rFonts w:hint="eastAsia" w:cs="Times New Roman"/>
          <w:sz w:val="18"/>
          <w:szCs w:val="18"/>
        </w:rPr>
        <w:t>收入</w:t>
      </w:r>
      <w:r>
        <w:rPr>
          <w:rFonts w:ascii="Times New Roman" w:hAnsi="Times New Roman" w:cs="Times New Roman"/>
          <w:sz w:val="18"/>
          <w:szCs w:val="18"/>
        </w:rPr>
        <w:t>”</w:t>
      </w:r>
      <w:r>
        <w:rPr>
          <w:rFonts w:hint="eastAsia" w:cs="Times New Roman"/>
          <w:sz w:val="18"/>
          <w:szCs w:val="18"/>
        </w:rPr>
        <w:t>及</w:t>
      </w:r>
      <w:r>
        <w:rPr>
          <w:rFonts w:ascii="Times New Roman" w:hAnsi="Times New Roman" w:cs="Times New Roman"/>
          <w:sz w:val="18"/>
          <w:szCs w:val="18"/>
        </w:rPr>
        <w:t>35“</w:t>
      </w:r>
      <w:r>
        <w:rPr>
          <w:rFonts w:hint="eastAsia" w:cs="Times New Roman"/>
          <w:sz w:val="18"/>
          <w:szCs w:val="18"/>
        </w:rPr>
        <w:t>其他重要的会计政策会计估计</w:t>
      </w:r>
      <w:r>
        <w:rPr>
          <w:rFonts w:ascii="Times New Roman" w:hAnsi="Times New Roman" w:cs="Times New Roman"/>
          <w:sz w:val="18"/>
          <w:szCs w:val="18"/>
        </w:rPr>
        <w:t>”</w:t>
      </w:r>
      <w:r>
        <w:rPr>
          <w:rFonts w:hint="eastAsia" w:cs="Times New Roman"/>
          <w:sz w:val="18"/>
          <w:szCs w:val="18"/>
        </w:rPr>
        <w:t>等各项描述。</w:t>
      </w:r>
    </w:p>
    <w:p>
      <w:pPr>
        <w:pStyle w:val="4"/>
        <w:spacing w:line="280" w:lineRule="exact"/>
        <w:jc w:val="left"/>
        <w:rPr>
          <w:rFonts w:ascii="宋体" w:hAnsi="宋体" w:cs="宋体"/>
          <w:b/>
          <w:bCs/>
        </w:rPr>
      </w:pPr>
      <w:bookmarkStart w:id="162" w:name="_Toc989048"/>
      <w:r>
        <w:rPr>
          <w:rFonts w:ascii="宋体" w:hAnsi="宋体" w:cs="宋体"/>
          <w:b/>
          <w:bCs/>
        </w:rPr>
        <w:t>1、遵循企业会计准则的声明</w:t>
      </w:r>
      <w:bookmarkEnd w:id="162"/>
    </w:p>
    <w:p>
      <w:pPr>
        <w:pStyle w:val="11"/>
        <w:spacing w:before="40" w:beforeAutospacing="0" w:after="40" w:afterAutospacing="0"/>
        <w:ind w:firstLine="360"/>
        <w:rPr>
          <w:rFonts w:ascii="等线" w:hAnsi="等线" w:eastAsia="等线"/>
          <w:sz w:val="21"/>
          <w:szCs w:val="21"/>
        </w:rPr>
      </w:pPr>
      <w:r>
        <w:rPr>
          <w:rFonts w:hint="eastAsia"/>
          <w:sz w:val="18"/>
          <w:szCs w:val="18"/>
        </w:rPr>
        <w:t>本公司编制的财务报表符合企业会计准则的要求，真实、完整地反映了本公司2022年12月31日的财务状况及2022年度的经营成果和现金流量等有关信息。此外，本公司的财务报表在所有重大方面符合中国证券监督管理委员会2014年修订的《公开发行证券的公司信息披露编报规则第15号－财务报告的一般规定》有关财务报表及其附注的披露要求。</w:t>
      </w:r>
    </w:p>
    <w:p>
      <w:pPr>
        <w:pStyle w:val="4"/>
        <w:spacing w:line="280" w:lineRule="exact"/>
        <w:jc w:val="left"/>
        <w:rPr>
          <w:rFonts w:ascii="宋体" w:hAnsi="宋体" w:cs="宋体"/>
          <w:b/>
          <w:bCs/>
        </w:rPr>
      </w:pPr>
      <w:bookmarkStart w:id="163" w:name="_Toc989049"/>
      <w:r>
        <w:rPr>
          <w:rFonts w:ascii="宋体" w:hAnsi="宋体" w:cs="宋体"/>
          <w:b/>
          <w:bCs/>
        </w:rPr>
        <w:t>2、会计期间</w:t>
      </w:r>
      <w:bookmarkEnd w:id="163"/>
    </w:p>
    <w:p>
      <w:pPr>
        <w:pStyle w:val="11"/>
        <w:spacing w:before="40" w:beforeAutospacing="0" w:after="40" w:afterAutospacing="0"/>
        <w:ind w:firstLine="360"/>
        <w:rPr>
          <w:rFonts w:ascii="等线" w:hAnsi="等线" w:eastAsia="等线"/>
          <w:sz w:val="21"/>
          <w:szCs w:val="21"/>
        </w:rPr>
      </w:pPr>
      <w:r>
        <w:rPr>
          <w:rFonts w:hint="eastAsia"/>
          <w:sz w:val="18"/>
          <w:szCs w:val="18"/>
        </w:rPr>
        <w:t>本公司的会计期间分为年度和中期，会计中期指短于一个完整的会计年度的报告期间。本公司会计年度采用公历年度，即每年自1月1日起至12月31日止。</w:t>
      </w:r>
    </w:p>
    <w:p>
      <w:pPr>
        <w:pStyle w:val="4"/>
        <w:spacing w:line="280" w:lineRule="exact"/>
        <w:jc w:val="left"/>
        <w:rPr>
          <w:rFonts w:ascii="宋体" w:hAnsi="宋体" w:cs="宋体"/>
          <w:b/>
          <w:bCs/>
        </w:rPr>
      </w:pPr>
      <w:bookmarkStart w:id="164" w:name="_Toc989050"/>
      <w:r>
        <w:rPr>
          <w:rFonts w:ascii="宋体" w:hAnsi="宋体" w:cs="宋体"/>
          <w:b/>
          <w:bCs/>
        </w:rPr>
        <w:t>3、营业周期</w:t>
      </w:r>
      <w:bookmarkEnd w:id="164"/>
    </w:p>
    <w:p>
      <w:pPr>
        <w:pStyle w:val="11"/>
        <w:spacing w:before="40" w:beforeAutospacing="0" w:after="40" w:afterAutospacing="0"/>
        <w:ind w:firstLine="360"/>
        <w:rPr>
          <w:rFonts w:ascii="等线" w:hAnsi="等线" w:eastAsia="等线"/>
          <w:sz w:val="21"/>
          <w:szCs w:val="21"/>
        </w:rPr>
      </w:pPr>
      <w:r>
        <w:rPr>
          <w:rFonts w:hint="eastAsia"/>
          <w:sz w:val="18"/>
          <w:szCs w:val="18"/>
        </w:rPr>
        <w:t>正常营业周期是指本公司从开始投资起至实现现金或现金等价物的期间。本公司以12个月作为一个营业周期，并以其作为资产和负债的流动性划分标准。</w:t>
      </w:r>
    </w:p>
    <w:p>
      <w:pPr>
        <w:pStyle w:val="4"/>
        <w:spacing w:line="280" w:lineRule="exact"/>
        <w:jc w:val="left"/>
        <w:rPr>
          <w:rFonts w:ascii="宋体" w:hAnsi="宋体" w:cs="宋体"/>
          <w:b/>
          <w:bCs/>
        </w:rPr>
      </w:pPr>
      <w:bookmarkStart w:id="165" w:name="_Toc989051"/>
      <w:r>
        <w:rPr>
          <w:rFonts w:ascii="宋体" w:hAnsi="宋体" w:cs="宋体"/>
          <w:b/>
          <w:bCs/>
        </w:rPr>
        <w:t>4、记账本位币</w:t>
      </w:r>
      <w:bookmarkEnd w:id="165"/>
    </w:p>
    <w:p>
      <w:pPr>
        <w:pStyle w:val="11"/>
        <w:spacing w:before="40" w:beforeAutospacing="0" w:after="40" w:afterAutospacing="0"/>
        <w:ind w:firstLine="360"/>
        <w:rPr>
          <w:rFonts w:ascii="等线" w:hAnsi="等线" w:eastAsia="等线"/>
          <w:sz w:val="21"/>
          <w:szCs w:val="21"/>
        </w:rPr>
      </w:pPr>
      <w:r>
        <w:rPr>
          <w:rFonts w:hint="eastAsia"/>
          <w:sz w:val="18"/>
          <w:szCs w:val="18"/>
        </w:rPr>
        <w:t>人民币为本公司经营所处的主要经济环境中的货币，本公司以人民币为记账本位币。本公司编制本财务报表时所采用的货币为人民币。</w:t>
      </w:r>
    </w:p>
    <w:p>
      <w:pPr>
        <w:pStyle w:val="4"/>
        <w:spacing w:line="280" w:lineRule="exact"/>
        <w:jc w:val="left"/>
        <w:rPr>
          <w:rFonts w:ascii="宋体" w:hAnsi="宋体" w:cs="宋体"/>
          <w:b/>
          <w:bCs/>
        </w:rPr>
      </w:pPr>
      <w:bookmarkStart w:id="166" w:name="_Toc989052"/>
      <w:r>
        <w:rPr>
          <w:rFonts w:ascii="宋体" w:hAnsi="宋体" w:cs="宋体"/>
          <w:b/>
          <w:bCs/>
        </w:rPr>
        <w:t>5、同一控制下和非同一控制下企业合并的会计处理方法</w:t>
      </w:r>
      <w:bookmarkEnd w:id="166"/>
    </w:p>
    <w:p>
      <w:pPr>
        <w:pStyle w:val="11"/>
        <w:spacing w:before="40" w:beforeAutospacing="0" w:after="40" w:afterAutospacing="0"/>
        <w:ind w:firstLine="360"/>
        <w:rPr>
          <w:rFonts w:ascii="等线" w:hAnsi="等线" w:eastAsia="等线"/>
          <w:sz w:val="21"/>
          <w:szCs w:val="21"/>
        </w:rPr>
      </w:pPr>
      <w:r>
        <w:rPr>
          <w:rFonts w:hint="eastAsia"/>
          <w:sz w:val="18"/>
          <w:szCs w:val="18"/>
        </w:rPr>
        <w:t>企业合并，是指将两个或两个以上单独的企业合并形成一个报告主体的交易或事项。企业合并分为同一控制下企业合并和非同一控制下企业合并。</w:t>
      </w:r>
    </w:p>
    <w:p>
      <w:pPr>
        <w:pStyle w:val="11"/>
        <w:spacing w:before="40" w:beforeAutospacing="0" w:after="40" w:afterAutospacing="0"/>
        <w:ind w:firstLine="360"/>
        <w:rPr>
          <w:rFonts w:ascii="等线" w:hAnsi="等线" w:eastAsia="等线"/>
          <w:sz w:val="21"/>
          <w:szCs w:val="21"/>
        </w:rPr>
      </w:pPr>
      <w:r>
        <w:rPr>
          <w:rFonts w:hint="eastAsia"/>
          <w:sz w:val="18"/>
          <w:szCs w:val="18"/>
        </w:rPr>
        <w:t>1、同一控制下企业合并</w:t>
      </w:r>
    </w:p>
    <w:p>
      <w:pPr>
        <w:pStyle w:val="11"/>
        <w:spacing w:before="40" w:beforeAutospacing="0" w:after="40" w:afterAutospacing="0"/>
        <w:ind w:firstLine="360"/>
        <w:rPr>
          <w:rFonts w:ascii="等线" w:hAnsi="等线" w:eastAsia="等线"/>
          <w:sz w:val="21"/>
          <w:szCs w:val="21"/>
        </w:rPr>
      </w:pPr>
      <w:r>
        <w:rPr>
          <w:rFonts w:hint="eastAsia"/>
          <w:sz w:val="18"/>
          <w:szCs w:val="18"/>
        </w:rPr>
        <w:t>参与合并的企业在合并前后均受同一方或相同的多方最终控制，且该控制并非暂时性的，为同一控制下的企业合并。同一控制下的企业合并，在合并日取得对其他参与合并企业控制权的一方为合并方，参与合并的其他企业为被合并方。合并日，是指合并方实际取得对被合并方控制权的日期。</w:t>
      </w:r>
    </w:p>
    <w:p>
      <w:pPr>
        <w:pStyle w:val="11"/>
        <w:spacing w:before="40" w:beforeAutospacing="0" w:after="40" w:afterAutospacing="0"/>
        <w:ind w:firstLine="360"/>
        <w:rPr>
          <w:rFonts w:ascii="等线" w:hAnsi="等线" w:eastAsia="等线"/>
          <w:sz w:val="21"/>
          <w:szCs w:val="21"/>
        </w:rPr>
      </w:pPr>
      <w:r>
        <w:rPr>
          <w:rFonts w:hint="eastAsia"/>
          <w:sz w:val="18"/>
          <w:szCs w:val="18"/>
        </w:rPr>
        <w:t>合并方取得的资产和负债均按合并日在被合并方的账面价值计量。合并方取得的净资产账面价值与支付的合并对价账面价值（或发行股份面值总额）的差额，调整资本公积（股本溢价）；资本公积（股本溢价）不足以冲减的，调整留存收益。</w:t>
      </w:r>
    </w:p>
    <w:p>
      <w:pPr>
        <w:pStyle w:val="11"/>
        <w:spacing w:before="40" w:beforeAutospacing="0" w:after="40" w:afterAutospacing="0"/>
        <w:ind w:firstLine="360"/>
        <w:rPr>
          <w:rFonts w:ascii="等线" w:hAnsi="等线" w:eastAsia="等线"/>
          <w:sz w:val="21"/>
          <w:szCs w:val="21"/>
        </w:rPr>
      </w:pPr>
      <w:r>
        <w:rPr>
          <w:rFonts w:hint="eastAsia"/>
          <w:sz w:val="18"/>
          <w:szCs w:val="18"/>
        </w:rPr>
        <w:t>合并方为进行企业合并发生的各项直接费用，于发生时计入当期损益。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2、非同一控制下的企业合并</w:t>
      </w:r>
    </w:p>
    <w:p>
      <w:pPr>
        <w:pStyle w:val="11"/>
        <w:spacing w:before="40" w:beforeAutospacing="0" w:after="40" w:afterAutospacing="0"/>
        <w:ind w:firstLine="360"/>
        <w:rPr>
          <w:rFonts w:ascii="等线" w:hAnsi="等线" w:eastAsia="等线"/>
          <w:sz w:val="21"/>
          <w:szCs w:val="21"/>
        </w:rPr>
      </w:pPr>
      <w:r>
        <w:rPr>
          <w:rFonts w:hint="eastAsia"/>
          <w:sz w:val="18"/>
          <w:szCs w:val="18"/>
        </w:rPr>
        <w:t>参与合并的企业在合并前后不受同一方或相同的多方最终控制的，为非同一控制下的企业合并。非同一控制下的企业合并，在购买日取得对其他参与合并企业控制权的一方为购买方，参与合并的其他企业为被购买方。购买日，是指为购买方实际取得对被购买方控制权的日期。</w:t>
      </w:r>
    </w:p>
    <w:p>
      <w:pPr>
        <w:pStyle w:val="11"/>
        <w:spacing w:before="40" w:beforeAutospacing="0" w:after="40" w:afterAutospacing="0"/>
        <w:ind w:firstLine="360"/>
        <w:rPr>
          <w:rFonts w:ascii="等线" w:hAnsi="等线" w:eastAsia="等线"/>
          <w:sz w:val="21"/>
          <w:szCs w:val="21"/>
        </w:rPr>
      </w:pPr>
      <w:r>
        <w:rPr>
          <w:rFonts w:hint="eastAsia"/>
          <w:sz w:val="18"/>
          <w:szCs w:val="18"/>
        </w:rPr>
        <w:t>对于非同一控制下的企业合并，合并成本包含购买日购买方为取得对被购买方的控制权而付出的资产、发生或承担的负债以及发行的权益性证券的公允价值，为企业合并发生的审计、法律服务、评估咨询等中介费用以及其他管理费用于发生时计入当期损益。购买方作为合并对价发行的权益性证券或债务性证券的交易费用，计入权益性证券或债务性证券的初始确认金额。所涉及的或有对价按其在购买日的公允价值计入合并成本，购买日后12个月内出现对购买日已存在情况的新的或进一步证据而需要调整或有对价的，相应调整合并商誉。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首先对取得的被购买方各项可辨认资产、负债及或有负债的公允价值以及合并成本的计量进行复核，复核后合并成本仍小于合并中取得的被购买方可辨认净资产公允价值份额的，其差额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购买方取得被购买方的可抵扣暂时性差异，在购买日因不符合递延所得税资产确认条件而未予确认的，在购买日后12个月内，如取得新的或进一步的信息表明购买日的相关情况已经存在，预期被购买方在购买日可抵扣暂时性差异带来的经济利益能够实现的，则确认相关的递延所得税资产，同时减少商誉，商誉不足冲减的，差额部分确认为当期损益；除上述情况以外，确认与企业合并相关的递延所得税资产的，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通过多次交易分步实现的非同一控制下企业合并，根据《财政部关于印发企业会计准则解释第5号的通知》（财会〔2012〕19号）和《企业会计准则第33号——合并财务报表》第五十一条关于“一揽子交易”的判断标准（参见本附注五、6），判断该多次交易是否属于“一揽子交易”。属于“一揽子交易”的，参考本部分前面各段描述及本附注五、17“长期股权投资”进行会计处理；不属于“一揽子交易”的，区分个别财务报表和合并财务报表进行相关会计处理：</w:t>
      </w:r>
    </w:p>
    <w:p>
      <w:pPr>
        <w:pStyle w:val="11"/>
        <w:spacing w:before="40" w:beforeAutospacing="0" w:after="40" w:afterAutospacing="0"/>
        <w:ind w:firstLine="360"/>
        <w:rPr>
          <w:rFonts w:ascii="等线" w:hAnsi="等线" w:eastAsia="等线"/>
          <w:sz w:val="21"/>
          <w:szCs w:val="21"/>
        </w:rPr>
      </w:pPr>
      <w:r>
        <w:rPr>
          <w:rFonts w:hint="eastAsia"/>
          <w:sz w:val="18"/>
          <w:szCs w:val="18"/>
        </w:rPr>
        <w:t>在个别财务报表中，以购买日之前所持被购买方的股权投资的账面价值与购买日新增投资成本之和，作为该项投资的初始投资成本；购买日之前持有的被购买方的股权涉及其他综合收益的，在处置该项投资时将与其相关的其他综合收益采用与被购买方直接处置相关资产或负债相同的基础进行会计处理（即，除了按照权益法核算的在被购买方重新计量设定受益计划净负债或净资产导致的变动中的相应份额以外，其余转入当期投资收益）。</w:t>
      </w:r>
    </w:p>
    <w:p>
      <w:pPr>
        <w:pStyle w:val="11"/>
        <w:spacing w:before="40" w:beforeAutospacing="0" w:after="40" w:afterAutospacing="0"/>
        <w:ind w:firstLine="360"/>
        <w:rPr>
          <w:rFonts w:ascii="等线" w:hAnsi="等线" w:eastAsia="等线"/>
          <w:sz w:val="21"/>
          <w:szCs w:val="21"/>
        </w:rPr>
      </w:pPr>
      <w:r>
        <w:rPr>
          <w:rFonts w:hint="eastAsia"/>
          <w:sz w:val="18"/>
          <w:szCs w:val="18"/>
        </w:rPr>
        <w:t>在合并财务报表中，对于购买日之前持有的被购买方的股权，按照该股权在购买日的公允价值进行重新计量，公允价值与其账面价值的差额计入当期投资收益；购买日之前持有的被购买方的股权涉及其他综合收益的，与其相关的其他综合收益应当采用与被购买方直接处置相关资产或负债相同的基础进行会计处理（即，除了按照权益法核算的在被购买方重新计量设定受益计划净负债或净资产导致的变动中的相应份额以外，其余转为购买日所属当期投资收益）。</w:t>
      </w:r>
    </w:p>
    <w:p>
      <w:pPr>
        <w:pStyle w:val="4"/>
        <w:spacing w:line="280" w:lineRule="exact"/>
        <w:jc w:val="left"/>
        <w:rPr>
          <w:rFonts w:ascii="宋体" w:hAnsi="宋体" w:cs="宋体"/>
          <w:b/>
          <w:bCs/>
        </w:rPr>
      </w:pPr>
      <w:bookmarkStart w:id="167" w:name="_Toc989053"/>
      <w:r>
        <w:rPr>
          <w:rFonts w:ascii="宋体" w:hAnsi="宋体" w:cs="宋体"/>
          <w:b/>
          <w:bCs/>
        </w:rPr>
        <w:t>6、合并财务报表的编制方法</w:t>
      </w:r>
      <w:bookmarkEnd w:id="167"/>
    </w:p>
    <w:p>
      <w:pPr>
        <w:pStyle w:val="11"/>
        <w:spacing w:before="40" w:beforeAutospacing="0" w:after="40" w:afterAutospacing="0"/>
        <w:ind w:firstLine="360"/>
        <w:rPr>
          <w:rFonts w:ascii="等线" w:hAnsi="等线" w:eastAsia="等线"/>
          <w:sz w:val="21"/>
          <w:szCs w:val="21"/>
        </w:rPr>
      </w:pPr>
      <w:r>
        <w:rPr>
          <w:rFonts w:hint="eastAsia"/>
          <w:sz w:val="18"/>
          <w:szCs w:val="18"/>
        </w:rPr>
        <w:t>1、合并财务报表范围的确定原则</w:t>
      </w:r>
    </w:p>
    <w:p>
      <w:pPr>
        <w:pStyle w:val="11"/>
        <w:spacing w:before="40" w:beforeAutospacing="0" w:after="40" w:afterAutospacing="0"/>
        <w:ind w:firstLine="360"/>
        <w:rPr>
          <w:rFonts w:ascii="等线" w:hAnsi="等线" w:eastAsia="等线"/>
          <w:sz w:val="21"/>
          <w:szCs w:val="21"/>
        </w:rPr>
      </w:pPr>
      <w:r>
        <w:rPr>
          <w:rFonts w:hint="eastAsia"/>
          <w:sz w:val="18"/>
          <w:szCs w:val="18"/>
        </w:rPr>
        <w:t>合并财务报表的合并范围以控制为基础予以确定。控制是指本公司拥有对被投资方的权力，通过参与被投资方的相关活动而享有可变回报，并且有能力运用对被投资方的权力影响该回报金额。合并范围包括本公司及全部子公司。子公司，是指被本公司控制的主体。</w:t>
      </w:r>
    </w:p>
    <w:p>
      <w:pPr>
        <w:pStyle w:val="11"/>
        <w:spacing w:before="40" w:beforeAutospacing="0" w:after="40" w:afterAutospacing="0"/>
        <w:ind w:firstLine="360"/>
        <w:rPr>
          <w:rFonts w:ascii="等线" w:hAnsi="等线" w:eastAsia="等线"/>
          <w:sz w:val="21"/>
          <w:szCs w:val="21"/>
        </w:rPr>
      </w:pPr>
      <w:r>
        <w:rPr>
          <w:rFonts w:hint="eastAsia"/>
          <w:sz w:val="18"/>
          <w:szCs w:val="18"/>
        </w:rPr>
        <w:t>一旦相关事实和情况的变化导致上述控制定义涉及的相关要素发生了变化，本公司将进行重新评估。</w:t>
      </w:r>
    </w:p>
    <w:p>
      <w:pPr>
        <w:pStyle w:val="11"/>
        <w:spacing w:before="40" w:beforeAutospacing="0" w:after="40" w:afterAutospacing="0"/>
        <w:ind w:firstLine="360"/>
        <w:rPr>
          <w:rFonts w:ascii="等线" w:hAnsi="等线" w:eastAsia="等线"/>
          <w:sz w:val="21"/>
          <w:szCs w:val="21"/>
        </w:rPr>
      </w:pPr>
      <w:r>
        <w:rPr>
          <w:rFonts w:hint="eastAsia"/>
          <w:sz w:val="18"/>
          <w:szCs w:val="18"/>
        </w:rPr>
        <w:t>2、合并财务报表编制的方法</w:t>
      </w:r>
    </w:p>
    <w:p>
      <w:pPr>
        <w:pStyle w:val="11"/>
        <w:spacing w:before="40" w:beforeAutospacing="0" w:after="40" w:afterAutospacing="0"/>
        <w:ind w:firstLine="360"/>
        <w:rPr>
          <w:rFonts w:ascii="等线" w:hAnsi="等线" w:eastAsia="等线"/>
          <w:sz w:val="21"/>
          <w:szCs w:val="21"/>
        </w:rPr>
      </w:pPr>
      <w:r>
        <w:rPr>
          <w:rFonts w:hint="eastAsia"/>
          <w:sz w:val="18"/>
          <w:szCs w:val="18"/>
        </w:rPr>
        <w:t>从取得子公司的净资产和生产经营决策的实际控制权之日起，本公司开始将其纳入合并范围；从丧失实际控制权之日起停止纳入合并范围。对于处置的子公司，处置日前的经营成果和现金流量已经适当地包括在合并利润表和合并现金流量表中；当期处置的子公司，不调整合并资产负债表的期初数。非同一控制下企业合并增加的子公司，其购买日后的经营成果及现金流量已经适当地包括在合并利润表和合并现金流量表中，且不调整合并财务报表的期初数和对比数。同一控制下企业合并增加的子公司，其自合并当期期初至合并日的经营成果和现金流量已经适当地包括在合并利润表和合并现金流量表中，并且同时调整合并财务报表的对比数。</w:t>
      </w:r>
    </w:p>
    <w:p>
      <w:pPr>
        <w:pStyle w:val="11"/>
        <w:spacing w:before="40" w:beforeAutospacing="0" w:after="40" w:afterAutospacing="0"/>
        <w:ind w:firstLine="360"/>
        <w:rPr>
          <w:rFonts w:ascii="等线" w:hAnsi="等线" w:eastAsia="等线"/>
          <w:sz w:val="21"/>
          <w:szCs w:val="21"/>
        </w:rPr>
      </w:pPr>
      <w:r>
        <w:rPr>
          <w:rFonts w:hint="eastAsia"/>
          <w:sz w:val="18"/>
          <w:szCs w:val="18"/>
        </w:rPr>
        <w:t>在编制合并财务报表时，子公司与本公司采用的会计政策或会计期间不一致的，按照本公司的会计政策和会计期间对子公司财务报表进行必要的调整。对于非同一控制下企业合并取得的子公司，以购买日可辨认净资产公允价值为基础对其财务报表进行调整。</w:t>
      </w:r>
    </w:p>
    <w:p>
      <w:pPr>
        <w:pStyle w:val="11"/>
        <w:spacing w:before="40" w:beforeAutospacing="0" w:after="40" w:afterAutospacing="0"/>
        <w:ind w:firstLine="360"/>
        <w:rPr>
          <w:rFonts w:ascii="等线" w:hAnsi="等线" w:eastAsia="等线"/>
          <w:sz w:val="21"/>
          <w:szCs w:val="21"/>
        </w:rPr>
      </w:pPr>
      <w:r>
        <w:rPr>
          <w:rFonts w:hint="eastAsia"/>
          <w:sz w:val="18"/>
          <w:szCs w:val="18"/>
        </w:rPr>
        <w:t>公司内所有重大往来余额、交易及未实现利润在合并财务报表编制时予以抵销。</w:t>
      </w:r>
    </w:p>
    <w:p>
      <w:pPr>
        <w:pStyle w:val="11"/>
        <w:spacing w:before="40" w:beforeAutospacing="0" w:after="40" w:afterAutospacing="0"/>
        <w:ind w:firstLine="360"/>
        <w:rPr>
          <w:rFonts w:ascii="等线" w:hAnsi="等线" w:eastAsia="等线"/>
          <w:sz w:val="21"/>
          <w:szCs w:val="21"/>
        </w:rPr>
      </w:pPr>
      <w:r>
        <w:rPr>
          <w:rFonts w:hint="eastAsia"/>
          <w:sz w:val="18"/>
          <w:szCs w:val="18"/>
        </w:rPr>
        <w:t>子公司的股东权益及当期净损益中不属于本公司所拥有的部分分别作为少数股东权益及少数股东损益在合并财务报表中股东权益及净利润项下单独列示。子公司当期净损益中属于少数股东权益的份额，在合并利润表中净利润项目下以“少数股东损益”项目列示。少数股东分担的子公司的亏损超过了少数股东在该子公司期初股东权益中所享有的份额，仍冲减少数股东权益。</w:t>
      </w:r>
    </w:p>
    <w:p>
      <w:pPr>
        <w:pStyle w:val="11"/>
        <w:spacing w:before="40" w:beforeAutospacing="0" w:after="40" w:afterAutospacing="0"/>
        <w:ind w:firstLine="360"/>
        <w:rPr>
          <w:rFonts w:ascii="等线" w:hAnsi="等线" w:eastAsia="等线"/>
          <w:sz w:val="21"/>
          <w:szCs w:val="21"/>
        </w:rPr>
      </w:pPr>
      <w:r>
        <w:rPr>
          <w:rFonts w:hint="eastAsia"/>
          <w:sz w:val="18"/>
          <w:szCs w:val="18"/>
        </w:rPr>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采用与被购买方直接处置相关资产或负债相同的基础进行会计处理（即，除了在该原有子公司重新计量设定受益计划净负债或净资产导致的变动以外，其余一并转为当期投资收益）。其后，对该部分剩余股权按照《企业会计准则第2号——长期股权投资》或《企业会计准则第22号——金融工具确认和计量》等相关规定进行后续计量。</w:t>
      </w:r>
    </w:p>
    <w:p>
      <w:pPr>
        <w:pStyle w:val="11"/>
        <w:spacing w:before="40" w:beforeAutospacing="0" w:after="40" w:afterAutospacing="0"/>
        <w:ind w:firstLine="360"/>
        <w:rPr>
          <w:rFonts w:ascii="等线" w:hAnsi="等线" w:eastAsia="等线"/>
          <w:sz w:val="21"/>
          <w:szCs w:val="21"/>
        </w:rPr>
      </w:pPr>
      <w:r>
        <w:rPr>
          <w:rFonts w:hint="eastAsia"/>
          <w:sz w:val="18"/>
          <w:szCs w:val="18"/>
        </w:rPr>
        <w:t>本公司通过多次交易分步处置对子公司股权投资直至丧失控制权的，需区分处置对子公司股权投资直至丧失控制权的各项交易是否属于一揽子交易。处置对子公司股权投资的各项交易的条款、条件以及经济影响符合以下一种或多种情况，通常表明应将多次交易事项作为一揽子交易进行会计处理：①这些交易是同时或者在考虑了彼此影响的情况下订立的；②这些交易整体才能达成一项完整的商业结果；③一项交易的发生取决于其他至少一项交易的发生；④一项交易单独看是不经济的，但是和其他交易一并考虑时是经济的。不属于一揽子交易的，对其中的每一项交易视情况分别按照“不丧失控制权的情况下部分处置对子公司的长期股权投资”和“因处置部分股权投资或其他原因丧失了对原有子公司的控制权”适用的原则进行会计处理。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pPr>
        <w:pStyle w:val="4"/>
        <w:spacing w:line="280" w:lineRule="exact"/>
        <w:jc w:val="left"/>
        <w:rPr>
          <w:rFonts w:ascii="宋体" w:hAnsi="宋体" w:cs="宋体"/>
          <w:b/>
          <w:bCs/>
        </w:rPr>
      </w:pPr>
      <w:bookmarkStart w:id="168" w:name="_Toc989054"/>
      <w:r>
        <w:rPr>
          <w:rFonts w:ascii="宋体" w:hAnsi="宋体" w:cs="宋体"/>
          <w:b/>
          <w:bCs/>
        </w:rPr>
        <w:t>7、现金及现金等价物的确定标准</w:t>
      </w:r>
      <w:bookmarkEnd w:id="168"/>
    </w:p>
    <w:p>
      <w:pPr>
        <w:pStyle w:val="11"/>
        <w:spacing w:before="40" w:beforeAutospacing="0" w:after="40" w:afterAutospacing="0"/>
        <w:ind w:firstLine="357"/>
        <w:rPr>
          <w:rFonts w:ascii="等线" w:hAnsi="等线" w:eastAsia="等线"/>
          <w:sz w:val="21"/>
          <w:szCs w:val="21"/>
        </w:rPr>
      </w:pPr>
      <w:r>
        <w:rPr>
          <w:rFonts w:hint="eastAsia"/>
          <w:sz w:val="18"/>
          <w:szCs w:val="18"/>
        </w:rPr>
        <w:t>在编制现金流量表时，将库存现金以及可以随时用于支付的存款确认为现金。现金等价物是指持有的期限短（一般是指从购买日起三个月内到期）、流动性强、易于转换为已知金额现金及价值变动风险很小的投资。</w:t>
      </w:r>
    </w:p>
    <w:p>
      <w:pPr>
        <w:pStyle w:val="4"/>
        <w:spacing w:line="280" w:lineRule="exact"/>
        <w:jc w:val="left"/>
        <w:rPr>
          <w:rFonts w:ascii="宋体" w:hAnsi="宋体" w:cs="宋体"/>
          <w:b/>
          <w:bCs/>
        </w:rPr>
      </w:pPr>
      <w:bookmarkStart w:id="169" w:name="_Toc989055"/>
      <w:r>
        <w:rPr>
          <w:rFonts w:ascii="宋体" w:hAnsi="宋体" w:cs="宋体"/>
          <w:b/>
          <w:bCs/>
        </w:rPr>
        <w:t>8、外币业务和外币报表折算</w:t>
      </w:r>
      <w:bookmarkEnd w:id="169"/>
    </w:p>
    <w:p>
      <w:pPr>
        <w:pStyle w:val="11"/>
        <w:spacing w:before="40" w:beforeAutospacing="0" w:after="40" w:afterAutospacing="0"/>
        <w:ind w:firstLine="360"/>
        <w:rPr>
          <w:rFonts w:ascii="等线" w:hAnsi="等线" w:eastAsia="等线"/>
          <w:sz w:val="21"/>
          <w:szCs w:val="21"/>
        </w:rPr>
      </w:pPr>
      <w:r>
        <w:rPr>
          <w:rFonts w:hint="eastAsia"/>
          <w:sz w:val="18"/>
          <w:szCs w:val="18"/>
        </w:rPr>
        <w:t>1、外币交易的折算方法</w:t>
      </w:r>
    </w:p>
    <w:p>
      <w:pPr>
        <w:pStyle w:val="11"/>
        <w:spacing w:before="40" w:beforeAutospacing="0" w:after="40" w:afterAutospacing="0"/>
        <w:ind w:firstLine="360"/>
        <w:rPr>
          <w:rFonts w:ascii="等线" w:hAnsi="等线" w:eastAsia="等线"/>
          <w:sz w:val="21"/>
          <w:szCs w:val="21"/>
        </w:rPr>
      </w:pPr>
      <w:r>
        <w:rPr>
          <w:rFonts w:hint="eastAsia"/>
          <w:sz w:val="18"/>
          <w:szCs w:val="18"/>
        </w:rPr>
        <w:t>本公司发生的外币交易在初始确认时，按交易日的即期汇率（通常指中国人民银行公布的当日外汇牌价的中间价，下同）折算为记账本位币金额，但公司发生的外币兑换业务或涉及外币兑换的交易事项，按照实际采用的汇率折算为记账本位币金额。</w:t>
      </w:r>
    </w:p>
    <w:p>
      <w:pPr>
        <w:pStyle w:val="11"/>
        <w:spacing w:before="40" w:beforeAutospacing="0" w:after="40" w:afterAutospacing="0"/>
        <w:ind w:firstLine="360"/>
        <w:rPr>
          <w:rFonts w:ascii="等线" w:hAnsi="等线" w:eastAsia="等线"/>
          <w:sz w:val="21"/>
          <w:szCs w:val="21"/>
        </w:rPr>
      </w:pPr>
      <w:r>
        <w:rPr>
          <w:rFonts w:hint="eastAsia"/>
          <w:sz w:val="18"/>
          <w:szCs w:val="18"/>
        </w:rPr>
        <w:t>2、对于外币货币性项目和外币非货币性项目的折算方法</w:t>
      </w:r>
    </w:p>
    <w:p>
      <w:pPr>
        <w:pStyle w:val="11"/>
        <w:spacing w:before="40" w:beforeAutospacing="0" w:after="40" w:afterAutospacing="0"/>
        <w:ind w:firstLine="360"/>
        <w:rPr>
          <w:rFonts w:ascii="等线" w:hAnsi="等线" w:eastAsia="等线"/>
          <w:sz w:val="21"/>
          <w:szCs w:val="21"/>
        </w:rPr>
      </w:pPr>
      <w:r>
        <w:rPr>
          <w:rFonts w:hint="eastAsia"/>
          <w:sz w:val="18"/>
          <w:szCs w:val="18"/>
        </w:rPr>
        <w:t>资产负债表日，对于外币货币性项目采用资产负债表日即期汇率折算，由此产生的汇兑差额，除：①属于与购建符合资本化条件的资产相关的外币专门借款产生的汇兑差额按照借款费用资本化的原则处理；②可供出售的外币货币性项目除摊余成本之外的其他账面余额变动产生的汇兑差额计入其他综合收益之外，均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以历史成本计量的外币非货币性项目，仍采用交易发生日的即期汇率折算的记账本位币金额计量。以公允价值计量的外币非货币性项目，采用公允价值确定日的即期汇率折算，折算后的记账本位币金额与原记账本位币金额的差额，作为公允价值变动（含汇率变动）处理，计入当期损益或确认为其他综合收益。</w:t>
      </w:r>
    </w:p>
    <w:p>
      <w:pPr>
        <w:pStyle w:val="11"/>
        <w:spacing w:before="40" w:beforeAutospacing="0" w:after="40" w:afterAutospacing="0"/>
        <w:ind w:firstLine="360"/>
        <w:rPr>
          <w:rFonts w:ascii="等线" w:hAnsi="等线" w:eastAsia="等线"/>
          <w:sz w:val="21"/>
          <w:szCs w:val="21"/>
        </w:rPr>
      </w:pPr>
      <w:r>
        <w:rPr>
          <w:rFonts w:hint="eastAsia"/>
          <w:sz w:val="18"/>
          <w:szCs w:val="18"/>
        </w:rPr>
        <w:t>3、外币财务报表的折算方法</w:t>
      </w:r>
    </w:p>
    <w:p>
      <w:pPr>
        <w:pStyle w:val="11"/>
        <w:spacing w:before="40" w:beforeAutospacing="0" w:after="40" w:afterAutospacing="0"/>
        <w:ind w:firstLine="360"/>
        <w:rPr>
          <w:rFonts w:ascii="等线" w:hAnsi="等线" w:eastAsia="等线"/>
          <w:sz w:val="21"/>
          <w:szCs w:val="21"/>
        </w:rPr>
      </w:pPr>
      <w:r>
        <w:rPr>
          <w:rFonts w:hint="eastAsia"/>
          <w:sz w:val="18"/>
          <w:szCs w:val="18"/>
        </w:rPr>
        <w:t>编制合并财务报表涉及境外经营的，如有实质上构成对境外经营净投资的外币货币性项目，因汇率变动而产生的汇兑差额，作为“外币报表折算差额”确认为其他综合收益；处置境外经营时，计入处置当期损益。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境外经营的外币财务报表按以下方法折算为人民币报表：资产负债表中的资产和负债项目，采用资产负债表日的即期汇率折算；股东权益类项目除“未分配利润”项目外，其他项目采用发生时的即期汇率折算。利润表中的收入和费用项目，采用交易发生日的即期汇率或即期汇率的近似汇率折算。年初未分配利润为上一年折算后的年末未分配利润；年末未分配利润按折算后的利润分配各项目计算列示；折算后资产类项目与负债类项目和股东权益类项目合计数的差额，作为外币报表折算差额，确认为其他综合收益。处置境外经营并丧失控制权时，将资产负债表中股东权益项目下列示的、与该境外经营相关的外币报表折算差额，全部或按处置该境外经营的比例转入处置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外币现金流量，采用现金流量发生日的即期汇率或即期汇率的近似汇率折算。汇率变动对现金的影响额作为调节项目，在现金流量表中单独列报。</w:t>
      </w:r>
    </w:p>
    <w:p>
      <w:pPr>
        <w:pStyle w:val="11"/>
        <w:spacing w:before="40" w:beforeAutospacing="0" w:after="40" w:afterAutospacing="0"/>
        <w:ind w:firstLine="360"/>
        <w:rPr>
          <w:rFonts w:ascii="等线" w:hAnsi="等线" w:eastAsia="等线"/>
          <w:sz w:val="21"/>
          <w:szCs w:val="21"/>
        </w:rPr>
      </w:pPr>
      <w:r>
        <w:rPr>
          <w:rFonts w:hint="eastAsia"/>
          <w:sz w:val="18"/>
          <w:szCs w:val="18"/>
        </w:rPr>
        <w:t>年初数和上年实际数按照上年财务报表折算后的数额列示。</w:t>
      </w:r>
    </w:p>
    <w:p>
      <w:pPr>
        <w:pStyle w:val="11"/>
        <w:spacing w:before="40" w:beforeAutospacing="0" w:after="40" w:afterAutospacing="0"/>
        <w:ind w:firstLine="360"/>
        <w:rPr>
          <w:rFonts w:ascii="等线" w:hAnsi="等线" w:eastAsia="等线"/>
          <w:sz w:val="21"/>
          <w:szCs w:val="21"/>
        </w:rPr>
      </w:pPr>
      <w:r>
        <w:rPr>
          <w:rFonts w:hint="eastAsia"/>
          <w:sz w:val="18"/>
          <w:szCs w:val="18"/>
        </w:rPr>
        <w:t>在处置本公司在境外经营的全部所有者权益或因处置部分股权投资或其他原因丧失了对境外经营控制权时，将资产负债表中股东权益项目下列示的、与该境外经营相关的归属于母公司所有者权益的外币报表折算差额，全部转入处置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在处置部分股权投资或其他原因导致持有境外经营权益比例降低但不丧失对境外经营控制权时，与该境外经营处置部分相关的外币报表折算差额将归属于少数股东权益，不转入当期损益。在处置境外经营为联营企业或合营企业的部分股权时，与该境外经营相关的外币报表折算差额，按处置该境外经营的比例转入处置当期损益。</w:t>
      </w:r>
    </w:p>
    <w:p>
      <w:pPr>
        <w:pStyle w:val="4"/>
        <w:spacing w:line="280" w:lineRule="exact"/>
        <w:jc w:val="left"/>
        <w:rPr>
          <w:rFonts w:ascii="宋体" w:hAnsi="宋体" w:cs="宋体"/>
          <w:b/>
          <w:bCs/>
        </w:rPr>
      </w:pPr>
      <w:bookmarkStart w:id="170" w:name="_Toc989056"/>
      <w:r>
        <w:rPr>
          <w:rFonts w:ascii="宋体" w:hAnsi="宋体" w:cs="宋体"/>
          <w:b/>
          <w:bCs/>
        </w:rPr>
        <w:t>9、金融工具</w:t>
      </w:r>
      <w:bookmarkEnd w:id="170"/>
    </w:p>
    <w:p>
      <w:pPr>
        <w:pStyle w:val="11"/>
        <w:spacing w:before="40" w:beforeAutospacing="0" w:after="40" w:afterAutospacing="0"/>
        <w:ind w:firstLine="360"/>
        <w:rPr>
          <w:rFonts w:ascii="等线" w:hAnsi="等线" w:eastAsia="等线"/>
          <w:sz w:val="21"/>
          <w:szCs w:val="21"/>
        </w:rPr>
      </w:pPr>
      <w:r>
        <w:rPr>
          <w:rFonts w:hint="eastAsia"/>
          <w:sz w:val="18"/>
          <w:szCs w:val="18"/>
        </w:rPr>
        <w:t>在本公司成为金融工具合同的一方时确认一项金融资产或金融负债。</w:t>
      </w:r>
    </w:p>
    <w:p>
      <w:pPr>
        <w:pStyle w:val="11"/>
        <w:spacing w:before="40" w:beforeAutospacing="0" w:after="40" w:afterAutospacing="0"/>
        <w:ind w:firstLine="360"/>
        <w:rPr>
          <w:rFonts w:ascii="等线" w:hAnsi="等线" w:eastAsia="等线"/>
          <w:sz w:val="21"/>
          <w:szCs w:val="21"/>
        </w:rPr>
      </w:pPr>
      <w:r>
        <w:rPr>
          <w:rFonts w:hint="eastAsia"/>
          <w:sz w:val="18"/>
          <w:szCs w:val="18"/>
        </w:rPr>
        <w:t>1、金融资产分类和计量</w:t>
      </w:r>
    </w:p>
    <w:p>
      <w:pPr>
        <w:pStyle w:val="11"/>
        <w:spacing w:before="40" w:beforeAutospacing="0" w:after="40" w:afterAutospacing="0"/>
        <w:ind w:firstLine="360"/>
        <w:rPr>
          <w:rFonts w:ascii="等线" w:hAnsi="等线" w:eastAsia="等线"/>
          <w:sz w:val="21"/>
          <w:szCs w:val="21"/>
        </w:rPr>
      </w:pPr>
      <w:r>
        <w:rPr>
          <w:rFonts w:hint="eastAsia"/>
          <w:sz w:val="18"/>
          <w:szCs w:val="18"/>
        </w:rPr>
        <w:t>本公司根据所管理金融资产的业务模式和金融资产的合同现金流量特征，将金融资产划分为以下三类：</w:t>
      </w:r>
    </w:p>
    <w:p>
      <w:pPr>
        <w:pStyle w:val="11"/>
        <w:spacing w:before="40" w:beforeAutospacing="0" w:after="40" w:afterAutospacing="0"/>
        <w:ind w:firstLine="360"/>
        <w:rPr>
          <w:rFonts w:ascii="等线" w:hAnsi="等线" w:eastAsia="等线"/>
          <w:sz w:val="21"/>
          <w:szCs w:val="21"/>
        </w:rPr>
      </w:pPr>
      <w:r>
        <w:rPr>
          <w:rFonts w:hint="eastAsia"/>
          <w:sz w:val="18"/>
          <w:szCs w:val="18"/>
        </w:rPr>
        <w:t>（1）以摊余成本计量的金融资产。</w:t>
      </w:r>
    </w:p>
    <w:p>
      <w:pPr>
        <w:pStyle w:val="11"/>
        <w:spacing w:before="40" w:beforeAutospacing="0" w:after="40" w:afterAutospacing="0"/>
        <w:ind w:firstLine="360"/>
        <w:rPr>
          <w:rFonts w:ascii="等线" w:hAnsi="等线" w:eastAsia="等线"/>
          <w:sz w:val="21"/>
          <w:szCs w:val="21"/>
        </w:rPr>
      </w:pPr>
      <w:r>
        <w:rPr>
          <w:rFonts w:hint="eastAsia"/>
          <w:sz w:val="18"/>
          <w:szCs w:val="18"/>
        </w:rPr>
        <w:t>（2）以公允价值计量且其变动计入其他综合收益的金融资产。</w:t>
      </w:r>
    </w:p>
    <w:p>
      <w:pPr>
        <w:pStyle w:val="11"/>
        <w:spacing w:before="40" w:beforeAutospacing="0" w:after="40" w:afterAutospacing="0"/>
        <w:ind w:firstLine="360"/>
        <w:rPr>
          <w:rFonts w:ascii="等线" w:hAnsi="等线" w:eastAsia="等线"/>
          <w:sz w:val="21"/>
          <w:szCs w:val="21"/>
        </w:rPr>
      </w:pPr>
      <w:r>
        <w:rPr>
          <w:rFonts w:hint="eastAsia"/>
          <w:sz w:val="18"/>
          <w:szCs w:val="18"/>
        </w:rPr>
        <w:t>（3）以公允价值计量且其变动计入当期损益的金融资产。</w:t>
      </w:r>
    </w:p>
    <w:p>
      <w:pPr>
        <w:pStyle w:val="11"/>
        <w:spacing w:before="40" w:beforeAutospacing="0" w:after="40" w:afterAutospacing="0"/>
        <w:ind w:firstLine="360"/>
        <w:rPr>
          <w:rFonts w:ascii="等线" w:hAnsi="等线" w:eastAsia="等线"/>
          <w:sz w:val="21"/>
          <w:szCs w:val="21"/>
        </w:rPr>
      </w:pPr>
      <w:r>
        <w:rPr>
          <w:rFonts w:hint="eastAsia"/>
          <w:sz w:val="18"/>
          <w:szCs w:val="18"/>
        </w:rPr>
        <w:t>金融资产在初始确认时以公允价值计量，但是因销售商品或提供服务等产生的应收账款或应收票据未包含重大融资成分或不考虑不超过一年的融资成分的，按照交易价格进行初始计量。</w:t>
      </w:r>
    </w:p>
    <w:p>
      <w:pPr>
        <w:pStyle w:val="11"/>
        <w:spacing w:before="40" w:beforeAutospacing="0" w:after="40" w:afterAutospacing="0"/>
        <w:ind w:firstLine="360"/>
        <w:rPr>
          <w:rFonts w:ascii="等线" w:hAnsi="等线" w:eastAsia="等线"/>
          <w:sz w:val="21"/>
          <w:szCs w:val="21"/>
        </w:rPr>
      </w:pPr>
      <w:r>
        <w:rPr>
          <w:rFonts w:hint="eastAsia"/>
          <w:sz w:val="18"/>
          <w:szCs w:val="18"/>
        </w:rPr>
        <w:t>对于以公允价值计量且其变动计入当期损益的金融资产，相关交易费用直接计入当期损益，其他类别的金融资产相关交易费用计入其初始确认金额。</w:t>
      </w:r>
    </w:p>
    <w:p>
      <w:pPr>
        <w:pStyle w:val="11"/>
        <w:spacing w:before="40" w:beforeAutospacing="0" w:after="40" w:afterAutospacing="0"/>
        <w:ind w:firstLine="360"/>
        <w:rPr>
          <w:rFonts w:ascii="等线" w:hAnsi="等线" w:eastAsia="等线"/>
          <w:sz w:val="21"/>
          <w:szCs w:val="21"/>
        </w:rPr>
      </w:pPr>
      <w:r>
        <w:rPr>
          <w:rFonts w:hint="eastAsia"/>
          <w:sz w:val="18"/>
          <w:szCs w:val="18"/>
        </w:rPr>
        <w:t>金融资产的后续计量取决于其分类，当且仅当本公司改变管理金融资产的业务模式时，才对所有受影响的相关金融资产进行重分类。</w:t>
      </w:r>
    </w:p>
    <w:p>
      <w:pPr>
        <w:pStyle w:val="11"/>
        <w:spacing w:before="40" w:beforeAutospacing="0" w:after="40" w:afterAutospacing="0"/>
        <w:ind w:firstLine="360"/>
        <w:rPr>
          <w:rFonts w:ascii="等线" w:hAnsi="等线" w:eastAsia="等线"/>
          <w:sz w:val="21"/>
          <w:szCs w:val="21"/>
        </w:rPr>
      </w:pPr>
      <w:r>
        <w:rPr>
          <w:rFonts w:hint="eastAsia"/>
          <w:sz w:val="18"/>
          <w:szCs w:val="18"/>
        </w:rPr>
        <w:t>（1）分类为以摊余成本计量的金融资产</w:t>
      </w:r>
    </w:p>
    <w:p>
      <w:pPr>
        <w:pStyle w:val="11"/>
        <w:spacing w:before="40" w:beforeAutospacing="0" w:after="40" w:afterAutospacing="0"/>
        <w:ind w:firstLine="360"/>
        <w:rPr>
          <w:rFonts w:ascii="等线" w:hAnsi="等线" w:eastAsia="等线"/>
          <w:sz w:val="21"/>
          <w:szCs w:val="21"/>
        </w:rPr>
      </w:pPr>
      <w:r>
        <w:rPr>
          <w:rFonts w:hint="eastAsia"/>
          <w:sz w:val="18"/>
          <w:szCs w:val="18"/>
        </w:rPr>
        <w:t>金融资产的合同条款规定在特定日期产生的现金流量仅为对本金和以未偿付本金金额为基础的利息的支付，且管理该金融资产的业务模式是以收取合同现金流量为目标，则本公司将该金融资产分类为以摊余成本计量的金融资产。本公司分类为以摊余成本计量的金融资产包括货币资金、应收票据及应收账款、其他应收款等。</w:t>
      </w:r>
    </w:p>
    <w:p>
      <w:pPr>
        <w:pStyle w:val="11"/>
        <w:spacing w:before="40" w:beforeAutospacing="0" w:after="40" w:afterAutospacing="0"/>
        <w:ind w:firstLine="360"/>
        <w:rPr>
          <w:rFonts w:ascii="等线" w:hAnsi="等线" w:eastAsia="等线"/>
          <w:sz w:val="21"/>
          <w:szCs w:val="21"/>
        </w:rPr>
      </w:pPr>
      <w:r>
        <w:rPr>
          <w:rFonts w:hint="eastAsia"/>
          <w:sz w:val="18"/>
          <w:szCs w:val="18"/>
        </w:rPr>
        <w:t>本公司对此类金融资产采用实际利率法确认利息收入，按摊余成本进行后续计量，其发生减值时或终止确认、修改产生的利得或损失，计入当期损益。除下列情况外，本公司根据金融资产账面余额乘以实际利率计算确定利息收入。</w:t>
      </w:r>
    </w:p>
    <w:p>
      <w:pPr>
        <w:pStyle w:val="11"/>
        <w:spacing w:before="40" w:beforeAutospacing="0" w:after="40" w:afterAutospacing="0"/>
        <w:ind w:firstLine="360"/>
        <w:rPr>
          <w:rFonts w:ascii="等线" w:hAnsi="等线" w:eastAsia="等线"/>
          <w:sz w:val="21"/>
          <w:szCs w:val="21"/>
        </w:rPr>
      </w:pPr>
      <w:r>
        <w:rPr>
          <w:rFonts w:hint="eastAsia"/>
          <w:sz w:val="18"/>
          <w:szCs w:val="18"/>
        </w:rPr>
        <w:t>①对于购入或源生的已发生信用减值的金融资产，本公司自初始确认起，按照该金融资产的摊余成本和经信用调整的实际利率计算确定其利息收入。</w:t>
      </w:r>
    </w:p>
    <w:p>
      <w:pPr>
        <w:pStyle w:val="11"/>
        <w:spacing w:before="40" w:beforeAutospacing="0" w:after="40" w:afterAutospacing="0"/>
        <w:ind w:firstLine="360"/>
        <w:rPr>
          <w:rFonts w:ascii="等线" w:hAnsi="等线" w:eastAsia="等线"/>
          <w:sz w:val="21"/>
          <w:szCs w:val="21"/>
        </w:rPr>
      </w:pPr>
      <w:r>
        <w:rPr>
          <w:rFonts w:hint="eastAsia"/>
          <w:sz w:val="18"/>
          <w:szCs w:val="18"/>
        </w:rPr>
        <w:t>②对于购入或源生的未发生信用减值、但在后续期间成为已发生信用减值的金融资产，本公司在后续期间，按照该金融资产的摊余成本和实际利率计算确定其利息收入。若该金融工具在后续期间因其信用风险有所改善而不再存在信用减值，本公司转按实际利率乘以该金融资产账面余额来计算确定利息收入。</w:t>
      </w:r>
    </w:p>
    <w:p>
      <w:pPr>
        <w:pStyle w:val="11"/>
        <w:spacing w:before="40" w:beforeAutospacing="0" w:after="40" w:afterAutospacing="0"/>
        <w:ind w:firstLine="360"/>
        <w:rPr>
          <w:rFonts w:ascii="等线" w:hAnsi="等线" w:eastAsia="等线"/>
          <w:sz w:val="21"/>
          <w:szCs w:val="21"/>
        </w:rPr>
      </w:pPr>
      <w:r>
        <w:rPr>
          <w:rFonts w:hint="eastAsia"/>
          <w:sz w:val="18"/>
          <w:szCs w:val="18"/>
        </w:rPr>
        <w:t>（2）分类为以公允价值计量且其变动计入其他综合收益的金融资产</w:t>
      </w:r>
    </w:p>
    <w:p>
      <w:pPr>
        <w:pStyle w:val="11"/>
        <w:spacing w:before="40" w:beforeAutospacing="0" w:after="40" w:afterAutospacing="0"/>
        <w:ind w:firstLine="360"/>
        <w:rPr>
          <w:rFonts w:ascii="等线" w:hAnsi="等线" w:eastAsia="等线"/>
          <w:sz w:val="21"/>
          <w:szCs w:val="21"/>
        </w:rPr>
      </w:pPr>
      <w:r>
        <w:rPr>
          <w:rFonts w:hint="eastAsia"/>
          <w:sz w:val="18"/>
          <w:szCs w:val="18"/>
        </w:rPr>
        <w:t>金融资产的合同条款规定在特定日期产生的现金流量仅为对本金和以未偿付本金金额为基础的利息的支付，且管理该金融资产的业务模式既以收取合同现金流量为目标又以出售该金融资产为目标，则本公司将该金融资产分类为以公允价值计量且其变动计入其他综合收益的金融资产。</w:t>
      </w:r>
    </w:p>
    <w:p>
      <w:pPr>
        <w:pStyle w:val="11"/>
        <w:spacing w:before="40" w:beforeAutospacing="0" w:after="40" w:afterAutospacing="0"/>
        <w:ind w:firstLine="360"/>
        <w:rPr>
          <w:rFonts w:ascii="等线" w:hAnsi="等线" w:eastAsia="等线"/>
          <w:sz w:val="21"/>
          <w:szCs w:val="21"/>
        </w:rPr>
      </w:pPr>
      <w:r>
        <w:rPr>
          <w:rFonts w:hint="eastAsia"/>
          <w:sz w:val="18"/>
          <w:szCs w:val="18"/>
        </w:rPr>
        <w:t>本公司对此类金融资产采用实际利率法确认利息收入。除利息收入、减值损失及汇兑差额确认为当期损益外，其余公允价值变动计入其他综合收益。当该金融资产终止确认时，之前计入其他综合收益的累计利得或损失从其他综合收益中转出，计入当期损益。以公允价值计量且变动计入其他综合收益的应收票据及应收账款列报为应收款项融资，其他此类金融资产列报为其他债权投资，其中：自资产负债表日起一年内到期的其他债权投资列报为一年内到期的非流动资产，原到期日在一年以内的其他债权投资列报为其他流动资产。</w:t>
      </w:r>
    </w:p>
    <w:p>
      <w:pPr>
        <w:pStyle w:val="11"/>
        <w:spacing w:before="40" w:beforeAutospacing="0" w:after="40" w:afterAutospacing="0"/>
        <w:ind w:firstLine="360"/>
        <w:rPr>
          <w:rFonts w:ascii="等线" w:hAnsi="等线" w:eastAsia="等线"/>
          <w:sz w:val="21"/>
          <w:szCs w:val="21"/>
        </w:rPr>
      </w:pPr>
      <w:r>
        <w:rPr>
          <w:rFonts w:hint="eastAsia"/>
          <w:sz w:val="18"/>
          <w:szCs w:val="18"/>
        </w:rPr>
        <w:t>（3）指定为以公允价值计量且其变动计入其他综合收益的金融资产</w:t>
      </w:r>
    </w:p>
    <w:p>
      <w:pPr>
        <w:pStyle w:val="11"/>
        <w:spacing w:before="40" w:beforeAutospacing="0" w:after="40" w:afterAutospacing="0"/>
        <w:ind w:firstLine="360"/>
        <w:rPr>
          <w:rFonts w:ascii="等线" w:hAnsi="等线" w:eastAsia="等线"/>
          <w:sz w:val="21"/>
          <w:szCs w:val="21"/>
        </w:rPr>
      </w:pPr>
      <w:r>
        <w:rPr>
          <w:rFonts w:hint="eastAsia"/>
          <w:sz w:val="18"/>
          <w:szCs w:val="18"/>
        </w:rPr>
        <w:t>在初始确认时，本公司可以单项金融资产为基础不可撤销地将非交易性权益工具投资指定为以公允价值计量且其变动计入其他综合收益的金融资产。</w:t>
      </w:r>
    </w:p>
    <w:p>
      <w:pPr>
        <w:pStyle w:val="11"/>
        <w:spacing w:before="40" w:beforeAutospacing="0" w:after="40" w:afterAutospacing="0"/>
        <w:ind w:firstLine="360"/>
        <w:rPr>
          <w:rFonts w:ascii="等线" w:hAnsi="等线" w:eastAsia="等线"/>
          <w:sz w:val="21"/>
          <w:szCs w:val="21"/>
        </w:rPr>
      </w:pPr>
      <w:r>
        <w:rPr>
          <w:rFonts w:hint="eastAsia"/>
          <w:sz w:val="18"/>
          <w:szCs w:val="18"/>
        </w:rPr>
        <w:t>此类金融资产的公允价值变动计入其他综合收益，不需计提减值准备。该金融资产终止确认时，之前计入其他综合收益的累计利得或损失从其他综合收益中转出，计入留存收益。本公司持有该权益工具投资期间，在本公司收取股利的权利已经确立，与股利相关的经济利益很可能流入本公司，且股利的金额能够可靠计量时，确认股利收入并计入当期损益。本公司对此类金融资产在其他权益工具投资项目下列报。</w:t>
      </w:r>
    </w:p>
    <w:p>
      <w:pPr>
        <w:pStyle w:val="11"/>
        <w:spacing w:before="40" w:beforeAutospacing="0" w:after="40" w:afterAutospacing="0"/>
        <w:ind w:firstLine="360"/>
        <w:rPr>
          <w:rFonts w:ascii="等线" w:hAnsi="等线" w:eastAsia="等线"/>
          <w:sz w:val="21"/>
          <w:szCs w:val="21"/>
        </w:rPr>
      </w:pPr>
      <w:r>
        <w:rPr>
          <w:rFonts w:hint="eastAsia"/>
          <w:sz w:val="18"/>
          <w:szCs w:val="18"/>
        </w:rPr>
        <w:t>权益工具投资满足下列条件之一的，属于以公允价值计量且其变动计入当期损益的金融资产：取得该金融资产的目的主要是为了近期出售；初始确认时属于集中管理的可辨认金融资产工具组合的一部分，且有客观证据表明近期实际存在短期获利模式；属于衍生工具（符合财务担保合同定义的以及被指定为有效套期工具的衍生工具除外）。</w:t>
      </w:r>
    </w:p>
    <w:p>
      <w:pPr>
        <w:pStyle w:val="11"/>
        <w:spacing w:before="40" w:beforeAutospacing="0" w:after="40" w:afterAutospacing="0"/>
        <w:ind w:firstLine="360"/>
        <w:rPr>
          <w:rFonts w:ascii="等线" w:hAnsi="等线" w:eastAsia="等线"/>
          <w:sz w:val="21"/>
          <w:szCs w:val="21"/>
        </w:rPr>
      </w:pPr>
      <w:r>
        <w:rPr>
          <w:rFonts w:hint="eastAsia"/>
          <w:sz w:val="18"/>
          <w:szCs w:val="18"/>
        </w:rPr>
        <w:t>（4）分类为以公允价值计量且其变动计入当期损益的金融资产</w:t>
      </w:r>
    </w:p>
    <w:p>
      <w:pPr>
        <w:pStyle w:val="11"/>
        <w:spacing w:before="40" w:beforeAutospacing="0" w:after="40" w:afterAutospacing="0"/>
        <w:ind w:firstLine="360"/>
        <w:rPr>
          <w:rFonts w:ascii="等线" w:hAnsi="等线" w:eastAsia="等线"/>
          <w:sz w:val="21"/>
          <w:szCs w:val="21"/>
        </w:rPr>
      </w:pPr>
      <w:r>
        <w:rPr>
          <w:rFonts w:hint="eastAsia"/>
          <w:sz w:val="18"/>
          <w:szCs w:val="18"/>
        </w:rPr>
        <w:t>不符合分类为以摊余成本计量或以公允价值计量且其变动计入其他综合收益的金融资产条件、亦不指定为以公允价值计量且其变动计入其他综合收益的金融资产均分类为以公允价值计量且其变动计入当期损益的金融资产。</w:t>
      </w:r>
    </w:p>
    <w:p>
      <w:pPr>
        <w:pStyle w:val="11"/>
        <w:spacing w:before="40" w:beforeAutospacing="0" w:after="40" w:afterAutospacing="0"/>
        <w:ind w:firstLine="360"/>
        <w:rPr>
          <w:rFonts w:ascii="等线" w:hAnsi="等线" w:eastAsia="等线"/>
          <w:sz w:val="21"/>
          <w:szCs w:val="21"/>
        </w:rPr>
      </w:pPr>
      <w:r>
        <w:rPr>
          <w:rFonts w:hint="eastAsia"/>
          <w:sz w:val="18"/>
          <w:szCs w:val="18"/>
        </w:rPr>
        <w:t>本公司对此类金融资产采用公允价值进行后续计量，将公允价值变动形成的利得或损失以及与此类金融资产相关的股利和利息收入计入当期损益。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本公司对此类金融资产根据其流动性在交易性金融资产、其他非流动金融资产项目列报。</w:t>
      </w:r>
    </w:p>
    <w:p>
      <w:pPr>
        <w:pStyle w:val="11"/>
        <w:spacing w:before="40" w:beforeAutospacing="0" w:after="40" w:afterAutospacing="0"/>
        <w:ind w:firstLine="360"/>
        <w:rPr>
          <w:rFonts w:ascii="等线" w:hAnsi="等线" w:eastAsia="等线"/>
          <w:sz w:val="21"/>
          <w:szCs w:val="21"/>
        </w:rPr>
      </w:pPr>
      <w:r>
        <w:rPr>
          <w:rFonts w:hint="eastAsia"/>
          <w:sz w:val="18"/>
          <w:szCs w:val="18"/>
        </w:rPr>
        <w:t>（5）指定为以公允价值计量且其变动计入当期损益的金融资产</w:t>
      </w:r>
    </w:p>
    <w:p>
      <w:pPr>
        <w:pStyle w:val="11"/>
        <w:spacing w:before="40" w:beforeAutospacing="0" w:after="40" w:afterAutospacing="0"/>
        <w:ind w:firstLine="360"/>
        <w:rPr>
          <w:rFonts w:ascii="等线" w:hAnsi="等线" w:eastAsia="等线"/>
          <w:sz w:val="21"/>
          <w:szCs w:val="21"/>
        </w:rPr>
      </w:pPr>
      <w:r>
        <w:rPr>
          <w:rFonts w:hint="eastAsia"/>
          <w:sz w:val="18"/>
          <w:szCs w:val="18"/>
        </w:rPr>
        <w:t>在初始确认时，本公司为了消除或显著减少会计错配，可以单项金融资产为基础不可撤销地将金融资产指定为以公允价值计量且其变动计入当期损益的金融资产。</w:t>
      </w:r>
    </w:p>
    <w:p>
      <w:pPr>
        <w:pStyle w:val="11"/>
        <w:spacing w:before="40" w:beforeAutospacing="0" w:after="40" w:afterAutospacing="0"/>
        <w:ind w:firstLine="360"/>
        <w:rPr>
          <w:rFonts w:ascii="等线" w:hAnsi="等线" w:eastAsia="等线"/>
          <w:sz w:val="21"/>
          <w:szCs w:val="21"/>
        </w:rPr>
      </w:pPr>
      <w:r>
        <w:rPr>
          <w:rFonts w:hint="eastAsia"/>
          <w:sz w:val="18"/>
          <w:szCs w:val="18"/>
        </w:rPr>
        <w:t>混合合同包含一项或多项嵌入衍生工具，且其主合同不属于以上金融资产的，本公司可以将其整体指定为以公允价值计量且其变动计入当期损益的金融工具。但下列情况除外：</w:t>
      </w:r>
    </w:p>
    <w:p>
      <w:pPr>
        <w:pStyle w:val="11"/>
        <w:spacing w:before="40" w:beforeAutospacing="0" w:after="40" w:afterAutospacing="0"/>
        <w:ind w:firstLine="360"/>
        <w:rPr>
          <w:rFonts w:ascii="等线" w:hAnsi="等线" w:eastAsia="等线"/>
          <w:sz w:val="21"/>
          <w:szCs w:val="21"/>
        </w:rPr>
      </w:pPr>
      <w:r>
        <w:rPr>
          <w:rFonts w:hint="eastAsia"/>
          <w:sz w:val="18"/>
          <w:szCs w:val="18"/>
        </w:rPr>
        <w:t>①嵌入衍生工具不会对混合合同的现金流量产生重大改变。</w:t>
      </w:r>
    </w:p>
    <w:p>
      <w:pPr>
        <w:pStyle w:val="11"/>
        <w:spacing w:before="40" w:beforeAutospacing="0" w:after="40" w:afterAutospacing="0"/>
        <w:ind w:firstLine="360"/>
        <w:rPr>
          <w:rFonts w:ascii="等线" w:hAnsi="等线" w:eastAsia="等线"/>
          <w:sz w:val="21"/>
          <w:szCs w:val="21"/>
        </w:rPr>
      </w:pPr>
      <w:r>
        <w:rPr>
          <w:rFonts w:hint="eastAsia"/>
          <w:sz w:val="18"/>
          <w:szCs w:val="18"/>
        </w:rPr>
        <w:t>②在初次确定类似的混合合同是否需要分拆时，几乎不需分析就能明确其包含的嵌入衍生工具不应分拆。如嵌入贷款的提前还款权，允许持有人以接近摊余成本的金额提前偿还贷款，该提前还款权不需要分拆。</w:t>
      </w:r>
    </w:p>
    <w:p>
      <w:pPr>
        <w:pStyle w:val="11"/>
        <w:spacing w:before="40" w:beforeAutospacing="0" w:after="40" w:afterAutospacing="0"/>
        <w:ind w:firstLine="360"/>
        <w:rPr>
          <w:rFonts w:ascii="等线" w:hAnsi="等线" w:eastAsia="等线"/>
          <w:sz w:val="21"/>
          <w:szCs w:val="21"/>
        </w:rPr>
      </w:pPr>
      <w:r>
        <w:rPr>
          <w:rFonts w:hint="eastAsia"/>
          <w:sz w:val="18"/>
          <w:szCs w:val="18"/>
        </w:rPr>
        <w:t>本公司对此类金融资产采用公允价值进行后续计量，将公允价值变动形成的利得或损失以及与此类金融资产相关的股利和利息收入计入当期损益。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本公司对此类金融资产根据其流动性在交易性金融资产、其他非流动金融资产项目列报。</w:t>
      </w:r>
    </w:p>
    <w:p>
      <w:pPr>
        <w:pStyle w:val="11"/>
        <w:spacing w:before="40" w:beforeAutospacing="0" w:after="40" w:afterAutospacing="0"/>
        <w:ind w:firstLine="360"/>
        <w:rPr>
          <w:rFonts w:ascii="等线" w:hAnsi="等线" w:eastAsia="等线"/>
          <w:sz w:val="21"/>
          <w:szCs w:val="21"/>
        </w:rPr>
      </w:pPr>
      <w:r>
        <w:rPr>
          <w:rFonts w:hint="eastAsia"/>
          <w:sz w:val="18"/>
          <w:szCs w:val="18"/>
        </w:rPr>
        <w:t>2、金融负债分类和计量</w:t>
      </w:r>
    </w:p>
    <w:p>
      <w:pPr>
        <w:pStyle w:val="11"/>
        <w:spacing w:before="40" w:beforeAutospacing="0" w:after="40" w:afterAutospacing="0"/>
        <w:ind w:firstLine="360"/>
        <w:rPr>
          <w:rFonts w:ascii="等线" w:hAnsi="等线" w:eastAsia="等线"/>
          <w:sz w:val="21"/>
          <w:szCs w:val="21"/>
        </w:rPr>
      </w:pPr>
      <w:r>
        <w:rPr>
          <w:rFonts w:hint="eastAsia"/>
          <w:sz w:val="18"/>
          <w:szCs w:val="18"/>
        </w:rPr>
        <w:t>本公司根据所发行金融工具的合同条款及其所反映的经济实质而非仅以法律形式，结合金融负债和权益工具的定义，在初始确认时将该金融工具或其组成部分分类为金融负债或权益工具。金融负债在初始确认时分类为：以公允价值计量且其变动计入当期损益的金融负债、其他金融负债、被指定为有效套期工具的衍生工具。</w:t>
      </w:r>
    </w:p>
    <w:p>
      <w:pPr>
        <w:pStyle w:val="11"/>
        <w:spacing w:before="40" w:beforeAutospacing="0" w:after="40" w:afterAutospacing="0"/>
        <w:ind w:firstLine="360"/>
        <w:rPr>
          <w:rFonts w:ascii="等线" w:hAnsi="等线" w:eastAsia="等线"/>
          <w:sz w:val="21"/>
          <w:szCs w:val="21"/>
        </w:rPr>
      </w:pPr>
      <w:r>
        <w:rPr>
          <w:rFonts w:hint="eastAsia"/>
          <w:sz w:val="18"/>
          <w:szCs w:val="18"/>
        </w:rPr>
        <w:t>金融负债在初始确认时以公允价值计量。对于以公允价值计量且其变动计入当期损益的金融负债，相关的交易费用直接计入当期损益；对于其他类别的金融负债，相关交易费用计入初始确认金额。</w:t>
      </w:r>
    </w:p>
    <w:p>
      <w:pPr>
        <w:pStyle w:val="11"/>
        <w:spacing w:before="40" w:beforeAutospacing="0" w:after="40" w:afterAutospacing="0"/>
        <w:ind w:firstLine="360"/>
        <w:rPr>
          <w:rFonts w:ascii="等线" w:hAnsi="等线" w:eastAsia="等线"/>
          <w:sz w:val="21"/>
          <w:szCs w:val="21"/>
        </w:rPr>
      </w:pPr>
      <w:r>
        <w:rPr>
          <w:rFonts w:hint="eastAsia"/>
          <w:sz w:val="18"/>
          <w:szCs w:val="18"/>
        </w:rPr>
        <w:t>金融负债的后续计量取决于其分类：</w:t>
      </w:r>
    </w:p>
    <w:p>
      <w:pPr>
        <w:pStyle w:val="11"/>
        <w:spacing w:before="40" w:beforeAutospacing="0" w:after="40" w:afterAutospacing="0"/>
        <w:ind w:firstLine="360"/>
        <w:rPr>
          <w:rFonts w:ascii="等线" w:hAnsi="等线" w:eastAsia="等线"/>
          <w:sz w:val="21"/>
          <w:szCs w:val="21"/>
        </w:rPr>
      </w:pPr>
      <w:r>
        <w:rPr>
          <w:rFonts w:hint="eastAsia"/>
          <w:sz w:val="18"/>
          <w:szCs w:val="18"/>
        </w:rPr>
        <w:t>（1）以公允价值计量且其变动计入当期损益的金融负债</w:t>
      </w:r>
    </w:p>
    <w:p>
      <w:pPr>
        <w:pStyle w:val="11"/>
        <w:spacing w:before="40" w:beforeAutospacing="0" w:after="40" w:afterAutospacing="0"/>
        <w:ind w:firstLine="360"/>
        <w:rPr>
          <w:rFonts w:ascii="等线" w:hAnsi="等线" w:eastAsia="等线"/>
          <w:sz w:val="21"/>
          <w:szCs w:val="21"/>
        </w:rPr>
      </w:pPr>
      <w:r>
        <w:rPr>
          <w:rFonts w:hint="eastAsia"/>
          <w:sz w:val="18"/>
          <w:szCs w:val="18"/>
        </w:rPr>
        <w:t>此类金融负债包括交易性金融负债（含属于金融负债的衍生工具）和初始确认时指定为以公允价值计量且其变动计入当期损益的金融负债。</w:t>
      </w:r>
    </w:p>
    <w:p>
      <w:pPr>
        <w:pStyle w:val="11"/>
        <w:spacing w:before="40" w:beforeAutospacing="0" w:after="40" w:afterAutospacing="0"/>
        <w:ind w:firstLine="360"/>
        <w:rPr>
          <w:rFonts w:ascii="等线" w:hAnsi="等线" w:eastAsia="等线"/>
          <w:sz w:val="21"/>
          <w:szCs w:val="21"/>
        </w:rPr>
      </w:pPr>
      <w:r>
        <w:rPr>
          <w:rFonts w:hint="eastAsia"/>
          <w:sz w:val="18"/>
          <w:szCs w:val="18"/>
        </w:rPr>
        <w:t>满足下列条件之一的，属于交易性金融负债：承担相关金融负债的目的主要是为了在近期内出售或回购；属于集中管理的可辨认金融工具组合的一部分，且有客观证据表明企业近期采用短期获利方式模式；属于衍生工具，但是，被指定且为有效套期工具的衍生工具、符合财务担保合同的衍生工具除外。交易性金融负债（含属于金融负债的衍生工具），按照公允价值进行后续计量，除与套期会计有关外，所有公允价值变动均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在初始确认时，为了提供更相关的会计信息，本公司将满足下列条件之一的金融负债不可撤销地指定为以公允价值计量且其变动计入当期损益的金融负债：</w:t>
      </w:r>
    </w:p>
    <w:p>
      <w:pPr>
        <w:pStyle w:val="11"/>
        <w:spacing w:before="40" w:beforeAutospacing="0" w:after="40" w:afterAutospacing="0"/>
        <w:ind w:firstLine="360"/>
        <w:rPr>
          <w:rFonts w:ascii="等线" w:hAnsi="等线" w:eastAsia="等线"/>
          <w:sz w:val="21"/>
          <w:szCs w:val="21"/>
        </w:rPr>
      </w:pPr>
      <w:r>
        <w:rPr>
          <w:rFonts w:hint="eastAsia"/>
          <w:sz w:val="18"/>
          <w:szCs w:val="18"/>
        </w:rPr>
        <w:t>①能够消除或显著减少会计错配。</w:t>
      </w:r>
    </w:p>
    <w:p>
      <w:pPr>
        <w:pStyle w:val="11"/>
        <w:spacing w:before="40" w:beforeAutospacing="0" w:after="40" w:afterAutospacing="0"/>
        <w:ind w:firstLine="360"/>
        <w:rPr>
          <w:rFonts w:ascii="等线" w:hAnsi="等线" w:eastAsia="等线"/>
          <w:sz w:val="21"/>
          <w:szCs w:val="21"/>
        </w:rPr>
      </w:pPr>
      <w:r>
        <w:rPr>
          <w:rFonts w:hint="eastAsia"/>
          <w:sz w:val="18"/>
          <w:szCs w:val="18"/>
        </w:rPr>
        <w:t>②根据正式书面文件载明的企业风险管理或投资策略，以公允价值为基础对金融负债组合或金融资产和金融负债组合进行管理和业绩评价，并在企业内部以此为基础向关键管理人员报告。</w:t>
      </w:r>
    </w:p>
    <w:p>
      <w:pPr>
        <w:pStyle w:val="11"/>
        <w:spacing w:before="40" w:beforeAutospacing="0" w:after="40" w:afterAutospacing="0"/>
        <w:ind w:firstLine="360"/>
        <w:rPr>
          <w:rFonts w:ascii="等线" w:hAnsi="等线" w:eastAsia="等线"/>
          <w:sz w:val="21"/>
          <w:szCs w:val="21"/>
        </w:rPr>
      </w:pPr>
      <w:r>
        <w:rPr>
          <w:rFonts w:hint="eastAsia"/>
          <w:sz w:val="18"/>
          <w:szCs w:val="18"/>
        </w:rPr>
        <w:t>本公司对此类金融负债采用公允价值进行后续计量，除由本公司自身信用风险变动引起的公允价值变动计入其他综合收益之外，其他公允价值变动计入当期损益。除非由本公司自身信用风险变动引起的公允价值变动计入其他综合收益会造成或扩大损益中的会计错配，本公司将所有公允价值变动（包括自身信用风险变动的影响金额）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（2）其他金融负债</w:t>
      </w:r>
    </w:p>
    <w:p>
      <w:pPr>
        <w:pStyle w:val="11"/>
        <w:spacing w:before="40" w:beforeAutospacing="0" w:after="40" w:afterAutospacing="0"/>
        <w:ind w:firstLine="360"/>
        <w:rPr>
          <w:rFonts w:ascii="等线" w:hAnsi="等线" w:eastAsia="等线"/>
          <w:sz w:val="21"/>
          <w:szCs w:val="21"/>
        </w:rPr>
      </w:pPr>
      <w:r>
        <w:rPr>
          <w:rFonts w:hint="eastAsia"/>
          <w:sz w:val="18"/>
          <w:szCs w:val="18"/>
        </w:rPr>
        <w:t>除下列各项外，公司将金融负债分类为以摊余成本计量的金融负债，对此类金融负债采用实际利率法，按照摊余成本进行后续计量，终止确认或摊销产生的利得或损失计入当期损益：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①以公允价值计量且其变动计入当期损益的金融负债。</w:t>
      </w:r>
    </w:p>
    <w:p>
      <w:pPr>
        <w:pStyle w:val="11"/>
        <w:spacing w:before="40" w:beforeAutospacing="0" w:after="40" w:afterAutospacing="0"/>
        <w:ind w:firstLine="360"/>
        <w:rPr>
          <w:rFonts w:ascii="等线" w:hAnsi="等线" w:eastAsia="等线"/>
          <w:sz w:val="21"/>
          <w:szCs w:val="21"/>
        </w:rPr>
      </w:pPr>
      <w:r>
        <w:rPr>
          <w:rFonts w:hint="eastAsia"/>
          <w:sz w:val="18"/>
          <w:szCs w:val="18"/>
        </w:rPr>
        <w:t>②金融资产转移不符合终止确认条件或继续涉入被转移金融资产所形成的金融负债。</w:t>
      </w:r>
    </w:p>
    <w:p>
      <w:pPr>
        <w:pStyle w:val="11"/>
        <w:spacing w:before="40" w:beforeAutospacing="0" w:after="40" w:afterAutospacing="0"/>
        <w:ind w:firstLine="360"/>
        <w:rPr>
          <w:rFonts w:ascii="等线" w:hAnsi="等线" w:eastAsia="等线"/>
          <w:sz w:val="21"/>
          <w:szCs w:val="21"/>
        </w:rPr>
      </w:pPr>
      <w:r>
        <w:rPr>
          <w:rFonts w:hint="eastAsia"/>
          <w:sz w:val="18"/>
          <w:szCs w:val="18"/>
        </w:rPr>
        <w:t>③不属于本条前两类情形的财务担保合同，以及不属于本条第①类情形的以低于市场利率贷款的贷款承诺。</w:t>
      </w:r>
    </w:p>
    <w:p>
      <w:pPr>
        <w:pStyle w:val="11"/>
        <w:spacing w:before="40" w:beforeAutospacing="0" w:after="40" w:afterAutospacing="0"/>
        <w:ind w:firstLine="360"/>
        <w:rPr>
          <w:rFonts w:ascii="等线" w:hAnsi="等线" w:eastAsia="等线"/>
          <w:sz w:val="21"/>
          <w:szCs w:val="21"/>
        </w:rPr>
      </w:pPr>
      <w:r>
        <w:rPr>
          <w:rFonts w:hint="eastAsia"/>
          <w:sz w:val="18"/>
          <w:szCs w:val="18"/>
        </w:rPr>
        <w:t>财务担保合同是指当特定债务人到期不能按照最初或修改后的债务工具条款偿付债务时，要求发行方向蒙受损失的合同持有人赔付特定金额的合同。不属于指定为以公允价值计量且其变动计入当期损益的金融负债的财务担保合同，在初始确认后按照损失准备金额以及初始确认金额扣除担保期内的累计摊销额后的余额孰高进行计量。</w:t>
      </w:r>
    </w:p>
    <w:p>
      <w:pPr>
        <w:pStyle w:val="11"/>
        <w:spacing w:before="40" w:beforeAutospacing="0" w:after="40" w:afterAutospacing="0"/>
        <w:ind w:firstLine="360"/>
        <w:rPr>
          <w:rFonts w:ascii="等线" w:hAnsi="等线" w:eastAsia="等线"/>
          <w:sz w:val="21"/>
          <w:szCs w:val="21"/>
        </w:rPr>
      </w:pPr>
      <w:r>
        <w:rPr>
          <w:rFonts w:hint="eastAsia"/>
          <w:sz w:val="18"/>
          <w:szCs w:val="18"/>
        </w:rPr>
        <w:t>3、金融资产和金融负债的终止确认</w:t>
      </w:r>
    </w:p>
    <w:p>
      <w:pPr>
        <w:pStyle w:val="11"/>
        <w:spacing w:before="40" w:beforeAutospacing="0" w:after="40" w:afterAutospacing="0"/>
        <w:ind w:firstLine="360"/>
        <w:rPr>
          <w:rFonts w:ascii="等线" w:hAnsi="等线" w:eastAsia="等线"/>
          <w:sz w:val="21"/>
          <w:szCs w:val="21"/>
        </w:rPr>
      </w:pPr>
      <w:r>
        <w:rPr>
          <w:rFonts w:hint="eastAsia"/>
          <w:sz w:val="18"/>
          <w:szCs w:val="18"/>
        </w:rPr>
        <w:t>（1）金融资产满足下列条件之一的，终止确认金融资产，即从其账户和资产负债表内予以转销：</w:t>
      </w:r>
    </w:p>
    <w:p>
      <w:pPr>
        <w:pStyle w:val="11"/>
        <w:spacing w:before="40" w:beforeAutospacing="0" w:after="40" w:afterAutospacing="0"/>
        <w:ind w:firstLine="360"/>
        <w:rPr>
          <w:rFonts w:ascii="等线" w:hAnsi="等线" w:eastAsia="等线"/>
          <w:sz w:val="21"/>
          <w:szCs w:val="21"/>
        </w:rPr>
      </w:pPr>
      <w:r>
        <w:rPr>
          <w:rFonts w:hint="eastAsia"/>
          <w:sz w:val="18"/>
          <w:szCs w:val="18"/>
        </w:rPr>
        <w:t>①收取该金融资产现金流量的合同权利终止。</w:t>
      </w:r>
    </w:p>
    <w:p>
      <w:pPr>
        <w:pStyle w:val="11"/>
        <w:spacing w:before="40" w:beforeAutospacing="0" w:after="40" w:afterAutospacing="0"/>
        <w:ind w:firstLine="360"/>
        <w:rPr>
          <w:rFonts w:ascii="等线" w:hAnsi="等线" w:eastAsia="等线"/>
          <w:sz w:val="21"/>
          <w:szCs w:val="21"/>
        </w:rPr>
      </w:pPr>
      <w:r>
        <w:rPr>
          <w:rFonts w:hint="eastAsia"/>
          <w:sz w:val="18"/>
          <w:szCs w:val="18"/>
        </w:rPr>
        <w:t>②该金融资产已转移，且该转移满足金融资产终止确认的规定。</w:t>
      </w:r>
    </w:p>
    <w:p>
      <w:pPr>
        <w:pStyle w:val="11"/>
        <w:spacing w:before="40" w:beforeAutospacing="0" w:after="40" w:afterAutospacing="0"/>
        <w:ind w:firstLine="360"/>
        <w:rPr>
          <w:rFonts w:ascii="等线" w:hAnsi="等线" w:eastAsia="等线"/>
          <w:sz w:val="21"/>
          <w:szCs w:val="21"/>
        </w:rPr>
      </w:pPr>
      <w:r>
        <w:rPr>
          <w:rFonts w:hint="eastAsia"/>
          <w:sz w:val="18"/>
          <w:szCs w:val="18"/>
        </w:rPr>
        <w:t>（2）金融负债终止确认条件</w:t>
      </w:r>
    </w:p>
    <w:p>
      <w:pPr>
        <w:pStyle w:val="11"/>
        <w:spacing w:before="40" w:beforeAutospacing="0" w:after="40" w:afterAutospacing="0"/>
        <w:ind w:firstLine="360"/>
        <w:rPr>
          <w:rFonts w:ascii="等线" w:hAnsi="等线" w:eastAsia="等线"/>
          <w:sz w:val="21"/>
          <w:szCs w:val="21"/>
        </w:rPr>
      </w:pPr>
      <w:r>
        <w:rPr>
          <w:rFonts w:hint="eastAsia"/>
          <w:sz w:val="18"/>
          <w:szCs w:val="18"/>
        </w:rPr>
        <w:t>金融负债（或其一部分）的现时义务已经解除的，则终止确认该金融负债（或该部分金融负债）。</w:t>
      </w:r>
    </w:p>
    <w:p>
      <w:pPr>
        <w:pStyle w:val="11"/>
        <w:spacing w:before="40" w:beforeAutospacing="0" w:after="40" w:afterAutospacing="0"/>
        <w:ind w:firstLine="360"/>
        <w:rPr>
          <w:rFonts w:ascii="等线" w:hAnsi="等线" w:eastAsia="等线"/>
          <w:sz w:val="21"/>
          <w:szCs w:val="21"/>
        </w:rPr>
      </w:pPr>
      <w:r>
        <w:rPr>
          <w:rFonts w:hint="eastAsia"/>
          <w:sz w:val="18"/>
          <w:szCs w:val="18"/>
        </w:rPr>
        <w:t>本公司与借出方之间签订协议，以承担新金融负债方式替换原金融负债，且新金融负债与原金融负债的合同条款实质上不同的，或对原金融负债（或其一部分）的合同条款做出实质性修改的，则终止确认原金融负债，同时确认一项新金融负债，账面价值与支付的对价（包括转出的非现金资产或承担的负债）之间的差额，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本公司回购金融负债一部分的，按照继续确认部分和终止确认部分在回购日各自的公允价值占整体公允价值的比例，对该金融负债整体的账面价值进行分配。分配给终止确认部分的账面价值与支付的对价（包括转出的非现金资产或承担的负债）之间的差额，应当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4、金融资产转移的确认依据和计量方法</w:t>
      </w:r>
    </w:p>
    <w:p>
      <w:pPr>
        <w:pStyle w:val="11"/>
        <w:spacing w:before="40" w:beforeAutospacing="0" w:after="40" w:afterAutospacing="0"/>
        <w:ind w:firstLine="360"/>
        <w:rPr>
          <w:rFonts w:ascii="等线" w:hAnsi="等线" w:eastAsia="等线"/>
          <w:sz w:val="21"/>
          <w:szCs w:val="21"/>
        </w:rPr>
      </w:pPr>
      <w:r>
        <w:rPr>
          <w:rFonts w:hint="eastAsia"/>
          <w:sz w:val="18"/>
          <w:szCs w:val="18"/>
        </w:rPr>
        <w:t>本公司在发生金融资产转移时，评估其保留金融资产所有权上的风险和报酬的程度，并分别下列情形处理：</w:t>
      </w:r>
    </w:p>
    <w:p>
      <w:pPr>
        <w:pStyle w:val="11"/>
        <w:spacing w:before="40" w:beforeAutospacing="0" w:after="40" w:afterAutospacing="0"/>
        <w:ind w:firstLine="360"/>
        <w:rPr>
          <w:rFonts w:ascii="等线" w:hAnsi="等线" w:eastAsia="等线"/>
          <w:sz w:val="21"/>
          <w:szCs w:val="21"/>
        </w:rPr>
      </w:pPr>
      <w:r>
        <w:rPr>
          <w:rFonts w:hint="eastAsia"/>
          <w:sz w:val="18"/>
          <w:szCs w:val="18"/>
        </w:rPr>
        <w:t>（1）转移了金融资产所有权上几乎所有风险和报酬的，则终止确认该金融资产，并将转移中产生或保留的权利和义务单独确认为资产或负债。</w:t>
      </w:r>
    </w:p>
    <w:p>
      <w:pPr>
        <w:pStyle w:val="11"/>
        <w:spacing w:before="40" w:beforeAutospacing="0" w:after="40" w:afterAutospacing="0"/>
        <w:ind w:firstLine="360"/>
        <w:rPr>
          <w:rFonts w:ascii="等线" w:hAnsi="等线" w:eastAsia="等线"/>
          <w:sz w:val="21"/>
          <w:szCs w:val="21"/>
        </w:rPr>
      </w:pPr>
      <w:r>
        <w:rPr>
          <w:rFonts w:hint="eastAsia"/>
          <w:sz w:val="18"/>
          <w:szCs w:val="18"/>
        </w:rPr>
        <w:t>（2）保留了金融资产所有权上几乎所有风险和报酬的，则继续确认该金融资产。</w:t>
      </w:r>
    </w:p>
    <w:p>
      <w:pPr>
        <w:pStyle w:val="11"/>
        <w:spacing w:before="40" w:beforeAutospacing="0" w:after="40" w:afterAutospacing="0"/>
        <w:ind w:firstLine="360"/>
        <w:rPr>
          <w:rFonts w:ascii="等线" w:hAnsi="等线" w:eastAsia="等线"/>
          <w:sz w:val="21"/>
          <w:szCs w:val="21"/>
        </w:rPr>
      </w:pPr>
      <w:r>
        <w:rPr>
          <w:rFonts w:hint="eastAsia"/>
          <w:sz w:val="18"/>
          <w:szCs w:val="18"/>
        </w:rPr>
        <w:t>（3）既没有转移也没有保留金融资产所有权上几乎所有风险和报酬的（即除本条（1）、（2）之外的其他情形），则根据其是否保留了对金融资产的控制，分别下列情形处理：</w:t>
      </w:r>
    </w:p>
    <w:p>
      <w:pPr>
        <w:pStyle w:val="11"/>
        <w:spacing w:before="40" w:beforeAutospacing="0" w:after="40" w:afterAutospacing="0"/>
        <w:ind w:firstLine="360"/>
        <w:rPr>
          <w:rFonts w:ascii="等线" w:hAnsi="等线" w:eastAsia="等线"/>
          <w:sz w:val="21"/>
          <w:szCs w:val="21"/>
        </w:rPr>
      </w:pPr>
      <w:r>
        <w:rPr>
          <w:rFonts w:hint="eastAsia"/>
          <w:sz w:val="18"/>
          <w:szCs w:val="18"/>
        </w:rPr>
        <w:t>①未保留对该金融资产控制的，则终止确认该金融资产，并将转移中产生或保留的权利和义务单独确认为资产或负债。</w:t>
      </w:r>
    </w:p>
    <w:p>
      <w:pPr>
        <w:pStyle w:val="11"/>
        <w:spacing w:before="40" w:beforeAutospacing="0" w:after="40" w:afterAutospacing="0"/>
        <w:ind w:firstLine="360"/>
        <w:rPr>
          <w:rFonts w:ascii="等线" w:hAnsi="等线" w:eastAsia="等线"/>
          <w:sz w:val="21"/>
          <w:szCs w:val="21"/>
        </w:rPr>
      </w:pPr>
      <w:r>
        <w:rPr>
          <w:rFonts w:hint="eastAsia"/>
          <w:sz w:val="18"/>
          <w:szCs w:val="18"/>
        </w:rPr>
        <w:t>②保留了对该金融资产控制的，则按照其继续涉入被转移金融资产的程度继续确认有关金融资产，并相应确认相关负债。继续涉入被转移金融资产的程度，是指本公司承担的被转移金融资产价值变动风险或报酬的程度。</w:t>
      </w:r>
    </w:p>
    <w:p>
      <w:pPr>
        <w:pStyle w:val="11"/>
        <w:spacing w:before="40" w:beforeAutospacing="0" w:after="40" w:afterAutospacing="0"/>
        <w:ind w:firstLine="360"/>
        <w:rPr>
          <w:rFonts w:ascii="等线" w:hAnsi="等线" w:eastAsia="等线"/>
          <w:sz w:val="21"/>
          <w:szCs w:val="21"/>
        </w:rPr>
      </w:pPr>
      <w:r>
        <w:rPr>
          <w:rFonts w:hint="eastAsia"/>
          <w:sz w:val="18"/>
          <w:szCs w:val="18"/>
        </w:rPr>
        <w:t>在判断金融资产转移是否满足上述金融资产终止确认条件时，采用实质重于形式的原则。公司将金融资产转移区分为金融资产整体转移和部分转移。</w:t>
      </w:r>
    </w:p>
    <w:p>
      <w:pPr>
        <w:pStyle w:val="11"/>
        <w:spacing w:before="40" w:beforeAutospacing="0" w:after="40" w:afterAutospacing="0"/>
        <w:ind w:firstLine="360"/>
        <w:rPr>
          <w:rFonts w:ascii="等线" w:hAnsi="等线" w:eastAsia="等线"/>
          <w:sz w:val="21"/>
          <w:szCs w:val="21"/>
        </w:rPr>
      </w:pPr>
      <w:r>
        <w:rPr>
          <w:rFonts w:hint="eastAsia"/>
          <w:sz w:val="18"/>
          <w:szCs w:val="18"/>
        </w:rPr>
        <w:t>（1）金融资产整体转移满足终止确认条件的，将下列两项金额的差额计入当期损益：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①被转移金融资产在终止确认日的账面价值。</w:t>
      </w:r>
    </w:p>
    <w:p>
      <w:pPr>
        <w:pStyle w:val="11"/>
        <w:spacing w:before="40" w:beforeAutospacing="0" w:after="40" w:afterAutospacing="0"/>
        <w:ind w:firstLine="360"/>
        <w:rPr>
          <w:rFonts w:ascii="等线" w:hAnsi="等线" w:eastAsia="等线"/>
          <w:sz w:val="21"/>
          <w:szCs w:val="21"/>
        </w:rPr>
      </w:pPr>
      <w:r>
        <w:rPr>
          <w:rFonts w:hint="eastAsia"/>
          <w:sz w:val="18"/>
          <w:szCs w:val="18"/>
        </w:rPr>
        <w:t>②因转移金融资产而收到的对价，与原直接计入其他综合收益的公允价值变动累计额中对应终止确认部分的金额（涉及转移的金融资产为以公允价值计量且其变动计入其他综合收益的金融资产）之和。</w:t>
      </w:r>
    </w:p>
    <w:p>
      <w:pPr>
        <w:pStyle w:val="11"/>
        <w:spacing w:before="40" w:beforeAutospacing="0" w:after="40" w:afterAutospacing="0"/>
        <w:ind w:firstLine="360"/>
        <w:rPr>
          <w:rFonts w:ascii="等线" w:hAnsi="等线" w:eastAsia="等线"/>
          <w:sz w:val="21"/>
          <w:szCs w:val="21"/>
        </w:rPr>
      </w:pPr>
      <w:r>
        <w:rPr>
          <w:rFonts w:hint="eastAsia"/>
          <w:sz w:val="18"/>
          <w:szCs w:val="18"/>
        </w:rPr>
        <w:t>（2）金融资产部分转移且该被转移部分整体满足终止确认条件的，将转移前金融资产整体的账面价值，在终止确认部分和继续确认部分（在此种情形下，所保留的服务资产应当视同继续确认金融资产的一部分）之间，按照转移日各自的相对公允价值进行分摊，并将下列两项金额的差额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①终止确认部分在终止确认日的账面价值。</w:t>
      </w:r>
    </w:p>
    <w:p>
      <w:pPr>
        <w:pStyle w:val="11"/>
        <w:spacing w:before="40" w:beforeAutospacing="0" w:after="40" w:afterAutospacing="0"/>
        <w:ind w:firstLine="360"/>
        <w:rPr>
          <w:rFonts w:ascii="等线" w:hAnsi="等线" w:eastAsia="等线"/>
          <w:sz w:val="21"/>
          <w:szCs w:val="21"/>
        </w:rPr>
      </w:pPr>
      <w:r>
        <w:rPr>
          <w:rFonts w:hint="eastAsia"/>
          <w:sz w:val="18"/>
          <w:szCs w:val="18"/>
        </w:rPr>
        <w:t>②终止确认部分收到的对价，与原计入其他综合收益的公允价值变动累计额中对应终止确认部分的金额（涉及转移的金融资产为以公允价值计量且其变动计入其他综合收益的金融资产）之和。</w:t>
      </w:r>
    </w:p>
    <w:p>
      <w:pPr>
        <w:pStyle w:val="11"/>
        <w:spacing w:before="40" w:beforeAutospacing="0" w:after="40" w:afterAutospacing="0"/>
        <w:ind w:firstLine="360"/>
        <w:rPr>
          <w:rFonts w:ascii="等线" w:hAnsi="等线" w:eastAsia="等线"/>
          <w:sz w:val="21"/>
          <w:szCs w:val="21"/>
        </w:rPr>
      </w:pPr>
      <w:r>
        <w:rPr>
          <w:rFonts w:hint="eastAsia"/>
          <w:sz w:val="18"/>
          <w:szCs w:val="18"/>
        </w:rPr>
        <w:t>5、金融资产和金融负债公允价值的确定方法</w:t>
      </w:r>
    </w:p>
    <w:p>
      <w:pPr>
        <w:pStyle w:val="11"/>
        <w:spacing w:before="40" w:beforeAutospacing="0" w:after="40" w:afterAutospacing="0"/>
        <w:ind w:firstLine="360"/>
        <w:rPr>
          <w:rFonts w:ascii="等线" w:hAnsi="等线" w:eastAsia="等线"/>
          <w:sz w:val="21"/>
          <w:szCs w:val="21"/>
        </w:rPr>
      </w:pPr>
      <w:r>
        <w:rPr>
          <w:rFonts w:hint="eastAsia"/>
          <w:sz w:val="18"/>
          <w:szCs w:val="18"/>
        </w:rPr>
        <w:t>存在活跃市场的金融资产或金融负债，以活跃市场的报价确定其公允价值，除非该项金融资产存在针对资产本身的限售期。对于针对资产本身的限售的金融资产，按照活跃市场的报价扣除市场参与者因承担指定期间内无法在公开市场上出售该金融资产的风险而要求获得的补偿金额后确定。活跃市场的报价包括易于且可定期从交易所、交易商、经纪人、行业集团、定价机构或监管机构等获得相关资产或负债的报价，且能代表在公平交易基础上实际并经常发生的市场交易。</w:t>
      </w:r>
    </w:p>
    <w:p>
      <w:pPr>
        <w:pStyle w:val="11"/>
        <w:spacing w:before="40" w:beforeAutospacing="0" w:after="40" w:afterAutospacing="0"/>
        <w:ind w:firstLine="360"/>
        <w:rPr>
          <w:rFonts w:ascii="等线" w:hAnsi="等线" w:eastAsia="等线"/>
          <w:sz w:val="21"/>
          <w:szCs w:val="21"/>
        </w:rPr>
      </w:pPr>
      <w:r>
        <w:rPr>
          <w:rFonts w:hint="eastAsia"/>
          <w:sz w:val="18"/>
          <w:szCs w:val="18"/>
        </w:rPr>
        <w:t>初始取得或衍生的金融资产或承担的金融负债，以市场交易价格作为确定其公允价值的基础。</w:t>
      </w:r>
    </w:p>
    <w:p>
      <w:pPr>
        <w:pStyle w:val="11"/>
        <w:spacing w:before="40" w:beforeAutospacing="0" w:after="40" w:afterAutospacing="0"/>
        <w:ind w:firstLine="360"/>
        <w:rPr>
          <w:rFonts w:ascii="等线" w:hAnsi="等线" w:eastAsia="等线"/>
          <w:sz w:val="21"/>
          <w:szCs w:val="21"/>
        </w:rPr>
      </w:pPr>
      <w:r>
        <w:rPr>
          <w:rFonts w:hint="eastAsia"/>
          <w:sz w:val="18"/>
          <w:szCs w:val="18"/>
        </w:rPr>
        <w:t>不存在活跃市场的金融资产或金融负债，采用估值技术确定其公允价值。在估值时，本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pPr>
        <w:pStyle w:val="11"/>
        <w:spacing w:before="40" w:beforeAutospacing="0" w:after="40" w:afterAutospacing="0"/>
        <w:ind w:firstLine="360"/>
        <w:rPr>
          <w:rFonts w:ascii="等线" w:hAnsi="等线" w:eastAsia="等线"/>
          <w:sz w:val="21"/>
          <w:szCs w:val="21"/>
        </w:rPr>
      </w:pPr>
      <w:r>
        <w:rPr>
          <w:rFonts w:hint="eastAsia"/>
          <w:sz w:val="18"/>
          <w:szCs w:val="18"/>
        </w:rPr>
        <w:t>6、金融工具减值</w:t>
      </w:r>
    </w:p>
    <w:p>
      <w:pPr>
        <w:pStyle w:val="11"/>
        <w:spacing w:before="40" w:beforeAutospacing="0" w:after="40" w:afterAutospacing="0"/>
        <w:ind w:firstLine="360"/>
        <w:rPr>
          <w:rFonts w:ascii="等线" w:hAnsi="等线" w:eastAsia="等线"/>
          <w:sz w:val="21"/>
          <w:szCs w:val="21"/>
        </w:rPr>
      </w:pPr>
      <w:r>
        <w:rPr>
          <w:rFonts w:hint="eastAsia"/>
          <w:sz w:val="18"/>
          <w:szCs w:val="18"/>
        </w:rPr>
        <w:t>本公司以预期信用损失为基础，对分类为以摊余成本计量的金融资产、分类为以公允价值计量且其变动计入其他综合收益的金融资产以及财务担保合同，进行减值会计处理并确认损失准备。</w:t>
      </w:r>
    </w:p>
    <w:p>
      <w:pPr>
        <w:pStyle w:val="11"/>
        <w:spacing w:before="40" w:beforeAutospacing="0" w:after="40" w:afterAutospacing="0"/>
        <w:ind w:firstLine="360"/>
        <w:rPr>
          <w:rFonts w:ascii="等线" w:hAnsi="等线" w:eastAsia="等线"/>
          <w:sz w:val="21"/>
          <w:szCs w:val="21"/>
        </w:rPr>
      </w:pPr>
      <w:r>
        <w:rPr>
          <w:rFonts w:hint="eastAsia"/>
          <w:sz w:val="18"/>
          <w:szCs w:val="18"/>
        </w:rPr>
        <w:t>预期信用损失，是指以发生违约的风险为权重的金融工具信用损失的加权平均值。信用损失，是指本公司按照原实际利率折现的、根据合同应收的所有合同现金流量与预期收取的所有现金流量之间的差额，即全部现金短缺的现值。其中，对于本公司购买或源生的已发生信用减值的金融资产，应按照该金融资产经信用调整的实际利率折现。</w:t>
      </w:r>
    </w:p>
    <w:p>
      <w:pPr>
        <w:pStyle w:val="11"/>
        <w:spacing w:before="40" w:beforeAutospacing="0" w:after="40" w:afterAutospacing="0"/>
        <w:ind w:firstLine="360"/>
        <w:rPr>
          <w:rFonts w:ascii="等线" w:hAnsi="等线" w:eastAsia="等线"/>
          <w:sz w:val="21"/>
          <w:szCs w:val="21"/>
        </w:rPr>
      </w:pPr>
      <w:r>
        <w:rPr>
          <w:rFonts w:hint="eastAsia"/>
          <w:sz w:val="18"/>
          <w:szCs w:val="18"/>
        </w:rPr>
        <w:t>对由收入准则规范的交易形成的应收款项，本公司运用简化计量方法，按照相当于整个存续期内预期信用损失的金额计量损失准备。</w:t>
      </w:r>
    </w:p>
    <w:p>
      <w:pPr>
        <w:pStyle w:val="11"/>
        <w:spacing w:before="40" w:beforeAutospacing="0" w:after="40" w:afterAutospacing="0"/>
        <w:ind w:firstLine="360"/>
        <w:rPr>
          <w:rFonts w:ascii="等线" w:hAnsi="等线" w:eastAsia="等线"/>
          <w:sz w:val="21"/>
          <w:szCs w:val="21"/>
        </w:rPr>
      </w:pPr>
      <w:r>
        <w:rPr>
          <w:rFonts w:hint="eastAsia"/>
          <w:sz w:val="18"/>
          <w:szCs w:val="18"/>
        </w:rPr>
        <w:t>对于购买或源生的已发生信用减值的金融资产，在资产负债表日仅将自初始确认后整个存续期内预期信用损失的累计变动确认为损失准备。在每个资产负债表日，将整个存续期内预期信用损失的变动金额作为减值损失或利得计入当期损益。即使该资产负债表日确定的整个存续期内预期信用损失小于初始确认时估计现金流量所反映的预期信用损失的金额，也将预期信用损失的有利变动确认为减值利得。</w:t>
      </w:r>
    </w:p>
    <w:p>
      <w:pPr>
        <w:pStyle w:val="11"/>
        <w:spacing w:before="40" w:beforeAutospacing="0" w:after="40" w:afterAutospacing="0"/>
        <w:ind w:firstLine="360"/>
        <w:rPr>
          <w:rFonts w:ascii="等线" w:hAnsi="等线" w:eastAsia="等线"/>
          <w:sz w:val="21"/>
          <w:szCs w:val="21"/>
        </w:rPr>
      </w:pPr>
      <w:r>
        <w:rPr>
          <w:rFonts w:hint="eastAsia"/>
          <w:sz w:val="18"/>
          <w:szCs w:val="18"/>
        </w:rPr>
        <w:t>除上述采用简化计量方法和购买或源生的已发生信用减值以外的其他金融资产，本公司在每个资产负债表日评估相关金融工具的信用风险自初始确认后是否已显著增加，并按照下列情形分别计量其损失准备、确认预期信用损失及其变动：</w:t>
      </w:r>
    </w:p>
    <w:p>
      <w:pPr>
        <w:pStyle w:val="11"/>
        <w:spacing w:before="40" w:beforeAutospacing="0" w:after="40" w:afterAutospacing="0"/>
        <w:ind w:firstLine="360"/>
        <w:rPr>
          <w:rFonts w:ascii="等线" w:hAnsi="等线" w:eastAsia="等线"/>
          <w:sz w:val="21"/>
          <w:szCs w:val="21"/>
        </w:rPr>
      </w:pPr>
      <w:r>
        <w:rPr>
          <w:rFonts w:hint="eastAsia"/>
          <w:sz w:val="18"/>
          <w:szCs w:val="18"/>
        </w:rPr>
        <w:t>（1）如果该金融工具的信用风险自初始确认后并未显著增加，处于第一阶段，则按照相当于该金融工具未来12个月内预期信用损失的金额计量其损失准备，并按照账面余额和实际利率计算利息收入。</w:t>
      </w:r>
    </w:p>
    <w:p>
      <w:pPr>
        <w:pStyle w:val="11"/>
        <w:spacing w:before="40" w:beforeAutospacing="0" w:after="40" w:afterAutospacing="0"/>
        <w:ind w:firstLine="360"/>
        <w:rPr>
          <w:rFonts w:ascii="等线" w:hAnsi="等线" w:eastAsia="等线"/>
          <w:sz w:val="21"/>
          <w:szCs w:val="21"/>
        </w:rPr>
      </w:pPr>
      <w:r>
        <w:rPr>
          <w:rFonts w:hint="eastAsia"/>
          <w:sz w:val="18"/>
          <w:szCs w:val="18"/>
        </w:rPr>
        <w:t>（2）如果该金融工具的信用风险自初始确认后已显著增加但尚未发生信用减值的，处于第二阶段，则按照相当于该金融工具整个存续期内预期信用损失的金额计量其损失准备，并按照账面余额和实际利率计算利息收入。</w:t>
      </w:r>
    </w:p>
    <w:p>
      <w:pPr>
        <w:pStyle w:val="11"/>
        <w:spacing w:before="40" w:beforeAutospacing="0" w:after="40" w:afterAutospacing="0"/>
        <w:ind w:firstLine="360"/>
        <w:rPr>
          <w:rFonts w:ascii="等线" w:hAnsi="等线" w:eastAsia="等线"/>
          <w:sz w:val="21"/>
          <w:szCs w:val="21"/>
        </w:rPr>
      </w:pPr>
      <w:r>
        <w:rPr>
          <w:rFonts w:hint="eastAsia"/>
          <w:sz w:val="18"/>
          <w:szCs w:val="18"/>
        </w:rPr>
        <w:t>（3）如果该金融工具自初始确认后已经发生信用减值的，处于第三阶段，本公司按照相当于该金融工具整个存续期内预期信用损失的金额计量其损失准备，并按照摊余成本和实际利率计算利息收入。</w:t>
      </w:r>
    </w:p>
    <w:p>
      <w:pPr>
        <w:pStyle w:val="11"/>
        <w:spacing w:before="40" w:beforeAutospacing="0" w:after="40" w:afterAutospacing="0"/>
        <w:ind w:firstLine="360"/>
        <w:rPr>
          <w:rFonts w:ascii="等线" w:hAnsi="等线" w:eastAsia="等线"/>
          <w:sz w:val="21"/>
          <w:szCs w:val="21"/>
        </w:rPr>
      </w:pPr>
      <w:r>
        <w:rPr>
          <w:rFonts w:hint="eastAsia"/>
          <w:sz w:val="18"/>
          <w:szCs w:val="18"/>
        </w:rPr>
        <w:t>金融工具信用损失准备的增加或转回金额，作为减值损失或利得计入当期损益。除分类为以公允价值计量且其变动计入其他综合收益的金融资产外，信用损失准备抵减金融资产的账面余额。对于分类为以公允价值计量且其变动计入其他综合收益的金融资产，本公司在其他综合收益中确认其信用损失准备，不减少该金融资产在资产负债表中列示的账面价值。</w:t>
      </w:r>
    </w:p>
    <w:p>
      <w:pPr>
        <w:pStyle w:val="11"/>
        <w:spacing w:before="40" w:beforeAutospacing="0" w:after="40" w:afterAutospacing="0"/>
        <w:ind w:firstLine="360"/>
        <w:rPr>
          <w:rFonts w:ascii="等线" w:hAnsi="等线" w:eastAsia="等线"/>
          <w:sz w:val="21"/>
          <w:szCs w:val="21"/>
        </w:rPr>
      </w:pPr>
      <w:r>
        <w:rPr>
          <w:rFonts w:hint="eastAsia"/>
          <w:sz w:val="18"/>
          <w:szCs w:val="18"/>
        </w:rPr>
        <w:t>本公司在前一会计期间已经按照相当于金融工具整个存续期内预期信用损失的金额计量了损失准备，但在当期资产负债表日，该金融工具已不再属于自初始确认后信用风险显著增加的情形的，本公司在当期资产负债表日按照相当于未来12个月内预期信用损失的金额计量该金融工具的损失准备，由此形成的损失准备的转回金额作为减值利得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（1）信用风险显著增加</w:t>
      </w:r>
    </w:p>
    <w:p>
      <w:pPr>
        <w:pStyle w:val="11"/>
        <w:spacing w:before="40" w:beforeAutospacing="0" w:after="40" w:afterAutospacing="0"/>
        <w:ind w:firstLine="360"/>
        <w:rPr>
          <w:rFonts w:ascii="等线" w:hAnsi="等线" w:eastAsia="等线"/>
          <w:sz w:val="21"/>
          <w:szCs w:val="21"/>
        </w:rPr>
      </w:pPr>
      <w:r>
        <w:rPr>
          <w:rFonts w:hint="eastAsia"/>
          <w:sz w:val="18"/>
          <w:szCs w:val="18"/>
        </w:rPr>
        <w:t>本公司利用可获得的合理且有依据的前瞻性信息，通过比较金融工具在资产负债表日发生违约的风险与在初始确认日发生违约的风险，以确定金融工具的信用风险自初始确认后是否已显著增加。对于财务担保合同，本公司在应用金融工具减值规定时，将本公司成为做出不可撤销承诺的一方之日作为初始确认日。</w:t>
      </w:r>
    </w:p>
    <w:p>
      <w:pPr>
        <w:pStyle w:val="11"/>
        <w:spacing w:before="40" w:beforeAutospacing="0" w:after="40" w:afterAutospacing="0"/>
        <w:ind w:firstLine="360"/>
        <w:rPr>
          <w:rFonts w:ascii="等线" w:hAnsi="等线" w:eastAsia="等线"/>
          <w:sz w:val="21"/>
          <w:szCs w:val="21"/>
        </w:rPr>
      </w:pPr>
      <w:r>
        <w:rPr>
          <w:rFonts w:hint="eastAsia"/>
          <w:sz w:val="18"/>
          <w:szCs w:val="18"/>
        </w:rPr>
        <w:t>本公司在评估信用风险是否显著增加时会考虑如下因素：</w:t>
      </w:r>
    </w:p>
    <w:p>
      <w:pPr>
        <w:pStyle w:val="11"/>
        <w:spacing w:before="40" w:beforeAutospacing="0" w:after="40" w:afterAutospacing="0"/>
        <w:ind w:firstLine="360"/>
        <w:rPr>
          <w:rFonts w:ascii="等线" w:hAnsi="等线" w:eastAsia="等线"/>
          <w:sz w:val="21"/>
          <w:szCs w:val="21"/>
        </w:rPr>
      </w:pPr>
      <w:r>
        <w:rPr>
          <w:rFonts w:hint="eastAsia"/>
          <w:sz w:val="18"/>
          <w:szCs w:val="18"/>
        </w:rPr>
        <w:t>①债务人经营成果实际或预期是否发生显著变化；</w:t>
      </w:r>
    </w:p>
    <w:p>
      <w:pPr>
        <w:pStyle w:val="11"/>
        <w:spacing w:before="40" w:beforeAutospacing="0" w:after="40" w:afterAutospacing="0"/>
        <w:ind w:firstLine="360"/>
        <w:rPr>
          <w:rFonts w:ascii="等线" w:hAnsi="等线" w:eastAsia="等线"/>
          <w:sz w:val="21"/>
          <w:szCs w:val="21"/>
        </w:rPr>
      </w:pPr>
      <w:r>
        <w:rPr>
          <w:rFonts w:hint="eastAsia"/>
          <w:sz w:val="18"/>
          <w:szCs w:val="18"/>
        </w:rPr>
        <w:t>②债务人所处的监管、经济或技术环境是否发生显著不利变化；</w:t>
      </w:r>
    </w:p>
    <w:p>
      <w:pPr>
        <w:pStyle w:val="11"/>
        <w:spacing w:before="40" w:beforeAutospacing="0" w:after="40" w:afterAutospacing="0"/>
        <w:ind w:firstLine="360"/>
        <w:rPr>
          <w:rFonts w:ascii="等线" w:hAnsi="等线" w:eastAsia="等线"/>
          <w:sz w:val="21"/>
          <w:szCs w:val="21"/>
        </w:rPr>
      </w:pPr>
      <w:r>
        <w:rPr>
          <w:rFonts w:hint="eastAsia"/>
          <w:sz w:val="18"/>
          <w:szCs w:val="18"/>
        </w:rPr>
        <w:t>③作为债务抵押的担保物价值或第三方提供的担保或信用增级质量是否发生显著变化，这些变化预期将降低债务人按合同规定期限还款的经济动机或者影响违约概率；</w:t>
      </w:r>
    </w:p>
    <w:p>
      <w:pPr>
        <w:pStyle w:val="11"/>
        <w:spacing w:before="40" w:beforeAutospacing="0" w:after="40" w:afterAutospacing="0"/>
        <w:ind w:firstLine="360"/>
        <w:rPr>
          <w:rFonts w:ascii="等线" w:hAnsi="等线" w:eastAsia="等线"/>
          <w:sz w:val="21"/>
          <w:szCs w:val="21"/>
        </w:rPr>
      </w:pPr>
      <w:r>
        <w:rPr>
          <w:rFonts w:hint="eastAsia"/>
          <w:sz w:val="18"/>
          <w:szCs w:val="18"/>
        </w:rPr>
        <w:t>④债务人预期表现和还款行为是否发生显著变化；</w:t>
      </w:r>
    </w:p>
    <w:p>
      <w:pPr>
        <w:pStyle w:val="11"/>
        <w:spacing w:before="40" w:beforeAutospacing="0" w:after="40" w:afterAutospacing="0"/>
        <w:ind w:firstLine="360"/>
        <w:rPr>
          <w:rFonts w:ascii="等线" w:hAnsi="等线" w:eastAsia="等线"/>
          <w:sz w:val="21"/>
          <w:szCs w:val="21"/>
        </w:rPr>
      </w:pPr>
      <w:r>
        <w:rPr>
          <w:rFonts w:hint="eastAsia"/>
          <w:sz w:val="18"/>
          <w:szCs w:val="18"/>
        </w:rPr>
        <w:t>⑤本公司对金融工具信用管理方法是否发生变化等。</w:t>
      </w:r>
    </w:p>
    <w:p>
      <w:pPr>
        <w:pStyle w:val="11"/>
        <w:spacing w:before="40" w:beforeAutospacing="0" w:after="40" w:afterAutospacing="0"/>
        <w:ind w:firstLine="360"/>
        <w:rPr>
          <w:rFonts w:ascii="等线" w:hAnsi="等线" w:eastAsia="等线"/>
          <w:sz w:val="21"/>
          <w:szCs w:val="21"/>
        </w:rPr>
      </w:pPr>
      <w:r>
        <w:rPr>
          <w:rFonts w:hint="eastAsia"/>
          <w:sz w:val="18"/>
          <w:szCs w:val="18"/>
        </w:rPr>
        <w:t>于资产负债表日，若本公司判断金融工具只具有较低的信用风险，则本公司假定该金融工具的信用风险自初始确认后并未显著增加。如果金融工具的违约风险较低，借款人在短期内履行其合同现金流量义务的能力很强，并且即使较长时期内经济形势和经营环境存在不利变化，但未必一定降低借款人履行其合同现金流量义务的能力，则该金融工具被视为具有较低的信用风险。</w:t>
      </w:r>
    </w:p>
    <w:p>
      <w:pPr>
        <w:pStyle w:val="11"/>
        <w:spacing w:before="40" w:beforeAutospacing="0" w:after="40" w:afterAutospacing="0"/>
        <w:ind w:firstLine="360"/>
        <w:rPr>
          <w:rFonts w:ascii="等线" w:hAnsi="等线" w:eastAsia="等线"/>
          <w:sz w:val="21"/>
          <w:szCs w:val="21"/>
        </w:rPr>
      </w:pPr>
      <w:r>
        <w:rPr>
          <w:rFonts w:hint="eastAsia"/>
          <w:sz w:val="18"/>
          <w:szCs w:val="18"/>
        </w:rPr>
        <w:t>（2）已发生信用减值的金融资产</w:t>
      </w:r>
    </w:p>
    <w:p>
      <w:pPr>
        <w:pStyle w:val="11"/>
        <w:spacing w:before="40" w:beforeAutospacing="0" w:after="40" w:afterAutospacing="0"/>
        <w:ind w:firstLine="360"/>
        <w:rPr>
          <w:rFonts w:ascii="等线" w:hAnsi="等线" w:eastAsia="等线"/>
          <w:sz w:val="21"/>
          <w:szCs w:val="21"/>
        </w:rPr>
      </w:pPr>
      <w:r>
        <w:rPr>
          <w:rFonts w:hint="eastAsia"/>
          <w:sz w:val="18"/>
          <w:szCs w:val="18"/>
        </w:rPr>
        <w:t>当对金融资产预期未来现金流量具有不利影响的一项或多项事件发生时，该金融资产成为已发生信用减值的金融资产。金融资产已发生信用减值的证据包括下列可观察信息：</w:t>
      </w:r>
    </w:p>
    <w:p>
      <w:pPr>
        <w:pStyle w:val="11"/>
        <w:spacing w:before="40" w:beforeAutospacing="0" w:after="40" w:afterAutospacing="0"/>
        <w:ind w:firstLine="360"/>
        <w:rPr>
          <w:rFonts w:ascii="等线" w:hAnsi="等线" w:eastAsia="等线"/>
          <w:sz w:val="21"/>
          <w:szCs w:val="21"/>
        </w:rPr>
      </w:pPr>
      <w:r>
        <w:rPr>
          <w:rFonts w:hint="eastAsia"/>
          <w:sz w:val="18"/>
          <w:szCs w:val="18"/>
        </w:rPr>
        <w:t>①发行方或债务人发生重大财务困难；</w:t>
      </w:r>
    </w:p>
    <w:p>
      <w:pPr>
        <w:pStyle w:val="11"/>
        <w:spacing w:before="40" w:beforeAutospacing="0" w:after="40" w:afterAutospacing="0"/>
        <w:ind w:firstLine="360"/>
        <w:rPr>
          <w:rFonts w:ascii="等线" w:hAnsi="等线" w:eastAsia="等线"/>
          <w:sz w:val="21"/>
          <w:szCs w:val="21"/>
        </w:rPr>
      </w:pPr>
      <w:r>
        <w:rPr>
          <w:rFonts w:hint="eastAsia"/>
          <w:sz w:val="18"/>
          <w:szCs w:val="18"/>
        </w:rPr>
        <w:t>②债务人违反合同，如偿付利息或本金违约或逾期等；</w:t>
      </w:r>
    </w:p>
    <w:p>
      <w:pPr>
        <w:pStyle w:val="11"/>
        <w:spacing w:before="40" w:beforeAutospacing="0" w:after="40" w:afterAutospacing="0"/>
        <w:ind w:firstLine="360"/>
        <w:rPr>
          <w:rFonts w:ascii="等线" w:hAnsi="等线" w:eastAsia="等线"/>
          <w:sz w:val="21"/>
          <w:szCs w:val="21"/>
        </w:rPr>
      </w:pPr>
      <w:r>
        <w:rPr>
          <w:rFonts w:hint="eastAsia"/>
          <w:sz w:val="18"/>
          <w:szCs w:val="18"/>
        </w:rPr>
        <w:t>③债权人出于与债务人财务困难有关的经济或合同考虑，给予债务人在任何其他情况下都不会做出的让步；</w:t>
      </w:r>
    </w:p>
    <w:p>
      <w:pPr>
        <w:pStyle w:val="11"/>
        <w:spacing w:before="40" w:beforeAutospacing="0" w:after="40" w:afterAutospacing="0"/>
        <w:ind w:firstLine="360"/>
        <w:rPr>
          <w:rFonts w:ascii="等线" w:hAnsi="等线" w:eastAsia="等线"/>
          <w:sz w:val="21"/>
          <w:szCs w:val="21"/>
        </w:rPr>
      </w:pPr>
      <w:r>
        <w:rPr>
          <w:rFonts w:hint="eastAsia"/>
          <w:sz w:val="18"/>
          <w:szCs w:val="18"/>
        </w:rPr>
        <w:t>④债务人很可能破产或进行其他财务重组；</w:t>
      </w:r>
    </w:p>
    <w:p>
      <w:pPr>
        <w:pStyle w:val="11"/>
        <w:spacing w:before="40" w:beforeAutospacing="0" w:after="40" w:afterAutospacing="0"/>
        <w:ind w:firstLine="360"/>
        <w:rPr>
          <w:rFonts w:ascii="等线" w:hAnsi="等线" w:eastAsia="等线"/>
          <w:sz w:val="21"/>
          <w:szCs w:val="21"/>
        </w:rPr>
      </w:pPr>
      <w:r>
        <w:rPr>
          <w:rFonts w:hint="eastAsia"/>
          <w:sz w:val="18"/>
          <w:szCs w:val="18"/>
        </w:rPr>
        <w:t>⑤发行方或债务人财务困难导致该金融资产的活跃市场消失；</w:t>
      </w:r>
    </w:p>
    <w:p>
      <w:pPr>
        <w:pStyle w:val="11"/>
        <w:spacing w:before="40" w:beforeAutospacing="0" w:after="40" w:afterAutospacing="0"/>
        <w:ind w:firstLine="360"/>
        <w:rPr>
          <w:rFonts w:ascii="等线" w:hAnsi="等线" w:eastAsia="等线"/>
          <w:sz w:val="21"/>
          <w:szCs w:val="21"/>
        </w:rPr>
      </w:pPr>
      <w:r>
        <w:rPr>
          <w:rFonts w:hint="eastAsia"/>
          <w:sz w:val="18"/>
          <w:szCs w:val="18"/>
        </w:rPr>
        <w:t>⑥以大幅折扣购买或源生一项金融资产，该折扣反映了发生信用损失的事实。</w:t>
      </w:r>
    </w:p>
    <w:p>
      <w:pPr>
        <w:pStyle w:val="11"/>
        <w:spacing w:before="40" w:beforeAutospacing="0" w:after="40" w:afterAutospacing="0"/>
        <w:ind w:firstLine="360"/>
        <w:rPr>
          <w:rFonts w:ascii="等线" w:hAnsi="等线" w:eastAsia="等线"/>
          <w:sz w:val="21"/>
          <w:szCs w:val="21"/>
        </w:rPr>
      </w:pPr>
      <w:r>
        <w:rPr>
          <w:rFonts w:hint="eastAsia"/>
          <w:sz w:val="18"/>
          <w:szCs w:val="18"/>
        </w:rPr>
        <w:t>金融资产发生信用减值，有可能是多个事件的共同作用所致，未必是可单独识别的事件所致。</w:t>
      </w:r>
    </w:p>
    <w:p>
      <w:pPr>
        <w:pStyle w:val="11"/>
        <w:spacing w:before="40" w:beforeAutospacing="0" w:after="40" w:afterAutospacing="0"/>
        <w:ind w:firstLine="360"/>
        <w:rPr>
          <w:rFonts w:ascii="等线" w:hAnsi="等线" w:eastAsia="等线"/>
          <w:sz w:val="21"/>
          <w:szCs w:val="21"/>
        </w:rPr>
      </w:pPr>
      <w:r>
        <w:rPr>
          <w:rFonts w:hint="eastAsia"/>
          <w:sz w:val="18"/>
          <w:szCs w:val="18"/>
        </w:rPr>
        <w:t>（3）预期信用损失的确定</w:t>
      </w:r>
    </w:p>
    <w:p>
      <w:pPr>
        <w:pStyle w:val="11"/>
        <w:spacing w:before="40" w:beforeAutospacing="0" w:after="40" w:afterAutospacing="0"/>
        <w:ind w:firstLine="360"/>
        <w:rPr>
          <w:rFonts w:ascii="等线" w:hAnsi="等线" w:eastAsia="等线"/>
          <w:sz w:val="21"/>
          <w:szCs w:val="21"/>
        </w:rPr>
      </w:pPr>
      <w:r>
        <w:rPr>
          <w:rFonts w:hint="eastAsia"/>
          <w:sz w:val="18"/>
          <w:szCs w:val="18"/>
        </w:rPr>
        <w:t>本公司基于单项和组合评估金融工具的预期信用损失，在评估预期信用损失时，考虑有关过去事项、当前状况以及未来经济状况预测的合理且有依据的信息。</w:t>
      </w:r>
    </w:p>
    <w:p>
      <w:pPr>
        <w:pStyle w:val="11"/>
        <w:spacing w:before="40" w:beforeAutospacing="0" w:after="40" w:afterAutospacing="0"/>
        <w:ind w:firstLine="360"/>
        <w:rPr>
          <w:rFonts w:ascii="等线" w:hAnsi="等线" w:eastAsia="等线"/>
          <w:sz w:val="21"/>
          <w:szCs w:val="21"/>
        </w:rPr>
      </w:pPr>
      <w:r>
        <w:rPr>
          <w:rFonts w:hint="eastAsia"/>
          <w:sz w:val="18"/>
          <w:szCs w:val="18"/>
        </w:rPr>
        <w:t>本公司以共同信用风险特征为依据，将金融工具分为不同组合。本公司采用的共同信用风险特征包括：金融工具类型、信用风险评级、账龄组合、债务人类型等。相关金融工具的单项评估标准和组合信用风险特征详见相关金融工具的会计政策。</w:t>
      </w:r>
    </w:p>
    <w:p>
      <w:pPr>
        <w:pStyle w:val="11"/>
        <w:spacing w:before="40" w:beforeAutospacing="0" w:after="40" w:afterAutospacing="0"/>
        <w:ind w:firstLine="360"/>
        <w:rPr>
          <w:rFonts w:ascii="等线" w:hAnsi="等线" w:eastAsia="等线"/>
          <w:sz w:val="21"/>
          <w:szCs w:val="21"/>
        </w:rPr>
      </w:pPr>
      <w:r>
        <w:rPr>
          <w:rFonts w:hint="eastAsia"/>
          <w:sz w:val="18"/>
          <w:szCs w:val="18"/>
        </w:rPr>
        <w:t>本公司按照下列方法确定相关金融工具的预期信用损失：</w:t>
      </w:r>
    </w:p>
    <w:p>
      <w:pPr>
        <w:pStyle w:val="11"/>
        <w:spacing w:before="40" w:beforeAutospacing="0" w:after="40" w:afterAutospacing="0"/>
        <w:ind w:firstLine="360"/>
        <w:rPr>
          <w:rFonts w:ascii="等线" w:hAnsi="等线" w:eastAsia="等线"/>
          <w:sz w:val="21"/>
          <w:szCs w:val="21"/>
        </w:rPr>
      </w:pPr>
      <w:r>
        <w:rPr>
          <w:rFonts w:hint="eastAsia"/>
          <w:sz w:val="18"/>
          <w:szCs w:val="18"/>
        </w:rPr>
        <w:t>①对于金融资产，信用损失为本公司应收取的合同现金流量与预期收取的现金流量之间差额的现值。</w:t>
      </w:r>
    </w:p>
    <w:p>
      <w:pPr>
        <w:pStyle w:val="11"/>
        <w:spacing w:before="40" w:beforeAutospacing="0" w:after="40" w:afterAutospacing="0"/>
        <w:ind w:firstLine="360"/>
        <w:rPr>
          <w:rFonts w:ascii="等线" w:hAnsi="等线" w:eastAsia="等线"/>
          <w:sz w:val="21"/>
          <w:szCs w:val="21"/>
        </w:rPr>
      </w:pPr>
      <w:r>
        <w:rPr>
          <w:rFonts w:hint="eastAsia"/>
          <w:sz w:val="18"/>
          <w:szCs w:val="18"/>
        </w:rPr>
        <w:t>②对于财务担保合同，信用损失为本公司就该合同持有人发生的信用损失向其做出赔付的预计付款额，减去本公司预期向该合同持有人、债务人或任何其他方收取的金额之间差额的现值。</w:t>
      </w:r>
    </w:p>
    <w:p>
      <w:pPr>
        <w:pStyle w:val="11"/>
        <w:spacing w:before="40" w:beforeAutospacing="0" w:after="40" w:afterAutospacing="0"/>
        <w:ind w:firstLine="360"/>
        <w:rPr>
          <w:rFonts w:ascii="等线" w:hAnsi="等线" w:eastAsia="等线"/>
          <w:sz w:val="21"/>
          <w:szCs w:val="21"/>
        </w:rPr>
      </w:pPr>
      <w:r>
        <w:rPr>
          <w:rFonts w:hint="eastAsia"/>
          <w:sz w:val="18"/>
          <w:szCs w:val="18"/>
        </w:rPr>
        <w:t>③对于资产负债表日已发生信用减值但并非购买或源生已发生信用减值的金融资产，信用损失为该金融资产账面余额与按原实际利率折现的估计未来现金流量的现值之间的差额。</w:t>
      </w:r>
    </w:p>
    <w:p>
      <w:pPr>
        <w:pStyle w:val="11"/>
        <w:spacing w:before="40" w:beforeAutospacing="0" w:after="40" w:afterAutospacing="0"/>
        <w:ind w:firstLine="360"/>
        <w:rPr>
          <w:rFonts w:ascii="等线" w:hAnsi="等线" w:eastAsia="等线"/>
          <w:sz w:val="21"/>
          <w:szCs w:val="21"/>
        </w:rPr>
      </w:pPr>
      <w:r>
        <w:rPr>
          <w:rFonts w:hint="eastAsia"/>
          <w:sz w:val="18"/>
          <w:szCs w:val="18"/>
        </w:rPr>
        <w:t>④本公司计量金融工具预期信用损失的方法反映的因素包括：通过评价一系列可能的结果而确定的无偏概率加权平均金额；货币时间价值；在资产负债表日无须付出不必要的额外成本或努力即可获得的有关过去事项、当前状况以及未来经济状况预测的合理且有依据的信息。</w:t>
      </w:r>
    </w:p>
    <w:p>
      <w:pPr>
        <w:pStyle w:val="11"/>
        <w:spacing w:before="40" w:beforeAutospacing="0" w:after="40" w:afterAutospacing="0"/>
        <w:ind w:firstLine="360"/>
        <w:rPr>
          <w:rFonts w:ascii="等线" w:hAnsi="等线" w:eastAsia="等线"/>
          <w:sz w:val="21"/>
          <w:szCs w:val="21"/>
        </w:rPr>
      </w:pPr>
      <w:r>
        <w:rPr>
          <w:rFonts w:hint="eastAsia"/>
          <w:sz w:val="18"/>
          <w:szCs w:val="18"/>
        </w:rPr>
        <w:t>（4）减记金融资产</w:t>
      </w:r>
    </w:p>
    <w:p>
      <w:pPr>
        <w:pStyle w:val="11"/>
        <w:spacing w:before="40" w:beforeAutospacing="0" w:after="40" w:afterAutospacing="0"/>
        <w:ind w:firstLine="360"/>
        <w:rPr>
          <w:rFonts w:ascii="等线" w:hAnsi="等线" w:eastAsia="等线"/>
          <w:sz w:val="21"/>
          <w:szCs w:val="21"/>
        </w:rPr>
      </w:pPr>
      <w:r>
        <w:rPr>
          <w:rFonts w:hint="eastAsia"/>
          <w:sz w:val="18"/>
          <w:szCs w:val="18"/>
        </w:rPr>
        <w:t>当本公司不再合理预期金融资产合同现金流量能够全部或部分收回的，直接减记该金融资产的账面余额。这种减记构成相关金融资产的终止确认。</w:t>
      </w:r>
    </w:p>
    <w:p>
      <w:pPr>
        <w:pStyle w:val="11"/>
        <w:spacing w:before="40" w:beforeAutospacing="0" w:after="40" w:afterAutospacing="0"/>
        <w:ind w:firstLine="360"/>
        <w:rPr>
          <w:rFonts w:ascii="等线" w:hAnsi="等线" w:eastAsia="等线"/>
          <w:sz w:val="21"/>
          <w:szCs w:val="21"/>
        </w:rPr>
      </w:pPr>
      <w:r>
        <w:rPr>
          <w:rFonts w:hint="eastAsia"/>
          <w:sz w:val="18"/>
          <w:szCs w:val="18"/>
        </w:rPr>
        <w:t>7、金融资产及金融负债的抵销</w:t>
      </w:r>
    </w:p>
    <w:p>
      <w:pPr>
        <w:pStyle w:val="11"/>
        <w:spacing w:before="40" w:beforeAutospacing="0" w:after="40" w:afterAutospacing="0"/>
        <w:ind w:firstLine="360"/>
        <w:rPr>
          <w:rFonts w:ascii="等线" w:hAnsi="等线" w:eastAsia="等线"/>
          <w:sz w:val="21"/>
          <w:szCs w:val="21"/>
        </w:rPr>
      </w:pPr>
      <w:r>
        <w:rPr>
          <w:rFonts w:hint="eastAsia"/>
          <w:sz w:val="18"/>
          <w:szCs w:val="18"/>
        </w:rPr>
        <w:t>金融资产和金融负债在资产负债表内分别列示，没有相互抵销。但是，同时满足下列条件的，以相互抵销后的净额在资产负债表内列示：</w:t>
      </w:r>
    </w:p>
    <w:p>
      <w:pPr>
        <w:pStyle w:val="11"/>
        <w:spacing w:before="40" w:beforeAutospacing="0" w:after="40" w:afterAutospacing="0"/>
        <w:ind w:firstLine="360"/>
        <w:rPr>
          <w:rFonts w:ascii="等线" w:hAnsi="等线" w:eastAsia="等线"/>
          <w:sz w:val="21"/>
          <w:szCs w:val="21"/>
        </w:rPr>
      </w:pPr>
      <w:r>
        <w:rPr>
          <w:rFonts w:hint="eastAsia"/>
          <w:sz w:val="18"/>
          <w:szCs w:val="18"/>
        </w:rPr>
        <w:t>（1）本公司具有抵销已确认金额的法定权利，且该种法定权利是当前可执行的；</w:t>
      </w:r>
    </w:p>
    <w:p>
      <w:pPr>
        <w:pStyle w:val="11"/>
        <w:spacing w:before="40" w:beforeAutospacing="0" w:after="40" w:afterAutospacing="0"/>
        <w:ind w:firstLine="360"/>
        <w:rPr>
          <w:rFonts w:ascii="等线" w:hAnsi="等线" w:eastAsia="等线"/>
          <w:sz w:val="21"/>
          <w:szCs w:val="21"/>
        </w:rPr>
      </w:pPr>
      <w:r>
        <w:rPr>
          <w:rFonts w:hint="eastAsia"/>
          <w:sz w:val="18"/>
          <w:szCs w:val="18"/>
        </w:rPr>
        <w:t>（2）本公司计划以净额结算，或同时变现该金融资产和清偿该金融负债。</w:t>
      </w:r>
    </w:p>
    <w:p>
      <w:pPr>
        <w:pStyle w:val="4"/>
        <w:spacing w:line="280" w:lineRule="exact"/>
        <w:jc w:val="left"/>
        <w:rPr>
          <w:rFonts w:ascii="宋体" w:hAnsi="宋体" w:cs="宋体"/>
          <w:b/>
          <w:bCs/>
        </w:rPr>
      </w:pPr>
      <w:bookmarkStart w:id="171" w:name="_Toc989057"/>
      <w:r>
        <w:rPr>
          <w:rFonts w:ascii="宋体" w:hAnsi="宋体" w:cs="宋体"/>
          <w:b/>
          <w:bCs/>
        </w:rPr>
        <w:t>10、应收票据</w:t>
      </w:r>
      <w:bookmarkEnd w:id="171"/>
    </w:p>
    <w:p>
      <w:pPr>
        <w:pStyle w:val="11"/>
        <w:spacing w:before="40" w:beforeAutospacing="0" w:after="40" w:afterAutospacing="0"/>
        <w:ind w:firstLine="360"/>
        <w:rPr>
          <w:rFonts w:ascii="等线" w:hAnsi="等线" w:eastAsia="等线"/>
          <w:sz w:val="21"/>
          <w:szCs w:val="21"/>
        </w:rPr>
      </w:pPr>
      <w:r>
        <w:rPr>
          <w:rFonts w:hint="eastAsia"/>
          <w:sz w:val="18"/>
          <w:szCs w:val="18"/>
        </w:rPr>
        <w:t>本公司对应收票据的预期信用损失的确定方法及会计处理方法详见本附注五、9、金融工具减值。</w:t>
      </w:r>
    </w:p>
    <w:p>
      <w:pPr>
        <w:pStyle w:val="11"/>
        <w:spacing w:before="40" w:beforeAutospacing="0" w:after="40" w:afterAutospacing="0"/>
        <w:ind w:firstLine="360"/>
        <w:rPr>
          <w:rFonts w:ascii="等线" w:hAnsi="等线" w:eastAsia="等线"/>
          <w:sz w:val="21"/>
          <w:szCs w:val="21"/>
        </w:rPr>
      </w:pPr>
      <w:r>
        <w:rPr>
          <w:rFonts w:hint="eastAsia"/>
          <w:sz w:val="18"/>
          <w:szCs w:val="18"/>
        </w:rPr>
        <w:t>当在单项工具层面无法以合理成本评估预期信用损失的充分证据时，本公司参考历史信用损失经验，结合当前状况以及对未来经济状况的判断，依据信用风险特征将应收票据划分为若干组合，在组合基础上计算预期信用损失。确定组合的依据如下：</w:t>
      </w:r>
    </w:p>
    <w:tbl>
      <w:tblPr>
        <w:tblStyle w:val="1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2039"/>
        <w:gridCol w:w="2197"/>
        <w:gridCol w:w="5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1048" w:type="pct"/>
            <w:noWrap/>
            <w:tcMar>
              <w:top w:w="0" w:type="dxa"/>
              <w:left w:w="0" w:type="dxa"/>
              <w:bottom w:w="0" w:type="dxa"/>
              <w:right w:w="108" w:type="dxa"/>
            </w:tcMar>
            <w:vAlign w:val="center"/>
          </w:tcPr>
          <w:p>
            <w:pPr>
              <w:pStyle w:val="11"/>
              <w:spacing w:before="0" w:beforeAutospacing="0" w:after="0" w:afterAutospacing="0"/>
              <w:jc w:val="center"/>
            </w:pPr>
            <w:r>
              <w:rPr>
                <w:rFonts w:hint="eastAsia"/>
                <w:color w:val="000000"/>
                <w:sz w:val="18"/>
                <w:szCs w:val="18"/>
              </w:rPr>
              <w:t>组合名称</w:t>
            </w:r>
          </w:p>
        </w:tc>
        <w:tc>
          <w:tcPr>
            <w:tcW w:w="1129" w:type="pct"/>
            <w:noWrap/>
            <w:tcMar>
              <w:top w:w="0" w:type="dxa"/>
              <w:left w:w="0" w:type="dxa"/>
              <w:bottom w:w="0" w:type="dxa"/>
              <w:right w:w="108" w:type="dxa"/>
            </w:tcMar>
            <w:vAlign w:val="center"/>
          </w:tcPr>
          <w:p>
            <w:pPr>
              <w:pStyle w:val="11"/>
              <w:spacing w:before="0" w:beforeAutospacing="0" w:after="0" w:afterAutospacing="0"/>
              <w:jc w:val="center"/>
            </w:pPr>
            <w:r>
              <w:rPr>
                <w:rFonts w:hint="eastAsia"/>
                <w:color w:val="000000"/>
                <w:sz w:val="18"/>
                <w:szCs w:val="18"/>
              </w:rPr>
              <w:t>确定组合的依据</w:t>
            </w:r>
          </w:p>
        </w:tc>
        <w:tc>
          <w:tcPr>
            <w:tcW w:w="2823" w:type="pct"/>
            <w:noWrap/>
            <w:tcMar>
              <w:top w:w="0" w:type="dxa"/>
              <w:left w:w="0" w:type="dxa"/>
              <w:bottom w:w="0" w:type="dxa"/>
              <w:right w:w="108" w:type="dxa"/>
            </w:tcMar>
            <w:vAlign w:val="center"/>
          </w:tcPr>
          <w:p>
            <w:pPr>
              <w:pStyle w:val="11"/>
              <w:spacing w:before="0" w:beforeAutospacing="0" w:after="0" w:afterAutospacing="0"/>
              <w:jc w:val="center"/>
            </w:pPr>
            <w:r>
              <w:rPr>
                <w:rFonts w:hint="eastAsia"/>
                <w:color w:val="000000"/>
                <w:sz w:val="18"/>
                <w:szCs w:val="18"/>
              </w:rPr>
              <w:t>计提预期信用损失的方法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1048" w:type="pct"/>
            <w:tcMar>
              <w:top w:w="0" w:type="dxa"/>
              <w:left w:w="0" w:type="dxa"/>
              <w:bottom w:w="0" w:type="dxa"/>
              <w:right w:w="108" w:type="dxa"/>
            </w:tcMar>
            <w:vAlign w:val="center"/>
          </w:tcPr>
          <w:p>
            <w:pPr>
              <w:pStyle w:val="11"/>
              <w:spacing w:before="0" w:beforeAutospacing="0" w:after="0" w:afterAutospacing="0"/>
              <w:jc w:val="center"/>
            </w:pPr>
            <w:r>
              <w:rPr>
                <w:rFonts w:hint="eastAsia"/>
                <w:sz w:val="18"/>
                <w:szCs w:val="18"/>
              </w:rPr>
              <w:t>银行承兑汇票组合</w:t>
            </w:r>
          </w:p>
        </w:tc>
        <w:tc>
          <w:tcPr>
            <w:tcW w:w="1129" w:type="pct"/>
            <w:vMerge w:val="restart"/>
            <w:noWrap/>
            <w:tcMar>
              <w:top w:w="0" w:type="dxa"/>
              <w:left w:w="0" w:type="dxa"/>
              <w:bottom w:w="0" w:type="dxa"/>
              <w:right w:w="108" w:type="dxa"/>
            </w:tcMar>
            <w:vAlign w:val="center"/>
          </w:tcPr>
          <w:p>
            <w:pPr>
              <w:pStyle w:val="11"/>
              <w:spacing w:before="0" w:beforeAutospacing="0" w:after="0" w:afterAutospacing="0"/>
              <w:jc w:val="center"/>
            </w:pPr>
            <w:r>
              <w:rPr>
                <w:rFonts w:hint="eastAsia"/>
                <w:sz w:val="18"/>
                <w:szCs w:val="18"/>
              </w:rPr>
              <w:t>票据类型</w:t>
            </w:r>
          </w:p>
        </w:tc>
        <w:tc>
          <w:tcPr>
            <w:tcW w:w="2823" w:type="pct"/>
            <w:vMerge w:val="restart"/>
            <w:noWrap/>
            <w:tcMar>
              <w:top w:w="0" w:type="dxa"/>
              <w:left w:w="0" w:type="dxa"/>
              <w:bottom w:w="0" w:type="dxa"/>
              <w:right w:w="108" w:type="dxa"/>
            </w:tcMar>
            <w:vAlign w:val="center"/>
          </w:tcPr>
          <w:p>
            <w:pPr>
              <w:pStyle w:val="11"/>
              <w:spacing w:before="0" w:beforeAutospacing="0" w:after="0" w:afterAutospacing="0"/>
            </w:pPr>
            <w:r>
              <w:rPr>
                <w:rFonts w:hint="eastAsia"/>
                <w:sz w:val="18"/>
                <w:szCs w:val="18"/>
              </w:rPr>
              <w:t>参考历史信用损失经验，结合当前状况以及对未来经济状况的预测，</w:t>
            </w:r>
          </w:p>
          <w:p>
            <w:pPr>
              <w:pStyle w:val="11"/>
              <w:spacing w:before="0" w:beforeAutospacing="0" w:after="0" w:afterAutospacing="0"/>
            </w:pPr>
            <w:r>
              <w:rPr>
                <w:rFonts w:hint="eastAsia"/>
                <w:sz w:val="18"/>
                <w:szCs w:val="18"/>
              </w:rPr>
              <w:t xml:space="preserve">通过违约风险敞口和整个存续期预期信用损失率，计算预期信用损失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72" w:hRule="atLeast"/>
          <w:jc w:val="center"/>
        </w:trPr>
        <w:tc>
          <w:tcPr>
            <w:tcW w:w="1048" w:type="pct"/>
            <w:tcMar>
              <w:top w:w="0" w:type="dxa"/>
              <w:left w:w="0" w:type="dxa"/>
              <w:bottom w:w="0" w:type="dxa"/>
              <w:right w:w="108" w:type="dxa"/>
            </w:tcMar>
            <w:vAlign w:val="center"/>
          </w:tcPr>
          <w:p>
            <w:pPr>
              <w:pStyle w:val="11"/>
              <w:spacing w:before="0" w:beforeAutospacing="0" w:after="0" w:afterAutospacing="0"/>
              <w:jc w:val="center"/>
            </w:pPr>
            <w:r>
              <w:rPr>
                <w:rFonts w:hint="eastAsia"/>
                <w:sz w:val="18"/>
                <w:szCs w:val="18"/>
              </w:rPr>
              <w:t>商业承兑汇票组合</w:t>
            </w:r>
          </w:p>
        </w:tc>
        <w:tc>
          <w:tcPr>
            <w:tcW w:w="0" w:type="auto"/>
            <w:vMerge w:val="continue"/>
            <w:vAlign w:val="center"/>
          </w:tcPr>
          <w:p>
            <w:pPr>
              <w:rPr>
                <w:rFonts w:ascii="宋体" w:hAnsi="宋体" w:eastAsia="宋体" w:cs="宋体"/>
                <w:sz w:val="24"/>
                <w:szCs w:val="24"/>
              </w:rPr>
            </w:pPr>
          </w:p>
        </w:tc>
        <w:tc>
          <w:tcPr>
            <w:tcW w:w="0" w:type="auto"/>
            <w:vMerge w:val="continue"/>
            <w:vAlign w:val="center"/>
          </w:tcPr>
          <w:p>
            <w:pPr>
              <w:rPr>
                <w:rFonts w:ascii="宋体" w:hAnsi="宋体" w:eastAsia="宋体" w:cs="宋体"/>
                <w:sz w:val="24"/>
                <w:szCs w:val="24"/>
              </w:rPr>
            </w:pPr>
          </w:p>
        </w:tc>
      </w:tr>
    </w:tbl>
    <w:p>
      <w:pPr>
        <w:pStyle w:val="4"/>
        <w:spacing w:line="280" w:lineRule="exact"/>
        <w:jc w:val="left"/>
        <w:rPr>
          <w:rFonts w:ascii="宋体" w:hAnsi="宋体" w:cs="宋体"/>
          <w:b/>
          <w:bCs/>
        </w:rPr>
      </w:pPr>
      <w:bookmarkStart w:id="172" w:name="_Toc989058"/>
      <w:r>
        <w:rPr>
          <w:rFonts w:ascii="宋体" w:hAnsi="宋体" w:cs="宋体"/>
          <w:b/>
          <w:bCs/>
        </w:rPr>
        <w:t>11、应收账款</w:t>
      </w:r>
      <w:bookmarkEnd w:id="172"/>
    </w:p>
    <w:p>
      <w:pPr>
        <w:pStyle w:val="11"/>
        <w:spacing w:before="40" w:beforeAutospacing="0" w:after="40" w:afterAutospacing="0"/>
        <w:ind w:firstLine="360"/>
        <w:rPr>
          <w:rFonts w:ascii="等线" w:hAnsi="等线" w:eastAsia="等线"/>
          <w:sz w:val="21"/>
          <w:szCs w:val="21"/>
        </w:rPr>
      </w:pPr>
      <w:r>
        <w:rPr>
          <w:rFonts w:hint="eastAsia"/>
          <w:sz w:val="18"/>
          <w:szCs w:val="18"/>
        </w:rPr>
        <w:t>本公司对应收账款的预期信用损失的确定方法及会计处理方法详见本附注五、9、金融工具减值。</w:t>
      </w:r>
    </w:p>
    <w:p>
      <w:pPr>
        <w:pStyle w:val="11"/>
        <w:spacing w:before="40" w:beforeAutospacing="0" w:after="40" w:afterAutospacing="0"/>
        <w:ind w:firstLine="360"/>
        <w:rPr>
          <w:rFonts w:ascii="等线" w:hAnsi="等线" w:eastAsia="等线"/>
          <w:sz w:val="21"/>
          <w:szCs w:val="21"/>
        </w:rPr>
      </w:pPr>
      <w:r>
        <w:rPr>
          <w:rFonts w:hint="eastAsia"/>
          <w:sz w:val="18"/>
          <w:szCs w:val="18"/>
        </w:rPr>
        <w:t>本公司对在单项工具层面能以合理成本评估预期信用损失的充分证据的应收账款单独确定其信用损失。</w:t>
      </w:r>
    </w:p>
    <w:p>
      <w:pPr>
        <w:pStyle w:val="11"/>
        <w:spacing w:before="40" w:beforeAutospacing="0" w:after="40" w:afterAutospacing="0"/>
        <w:ind w:firstLine="360"/>
        <w:rPr>
          <w:rFonts w:ascii="等线" w:hAnsi="等线" w:eastAsia="等线"/>
          <w:sz w:val="21"/>
          <w:szCs w:val="21"/>
        </w:rPr>
      </w:pPr>
      <w:r>
        <w:rPr>
          <w:rFonts w:hint="eastAsia"/>
          <w:sz w:val="18"/>
          <w:szCs w:val="18"/>
        </w:rPr>
        <w:t>当在单项工具层面无法以合理成本评估预期信用损失的充分证据时，本公司参考历史信用损失经验，结合当前状况以及对未来经济状况的判断，依据信用风险特征将应收账款划分为若干组合，在组合基础上计算预期信用损失。确定组合的依据如下：</w:t>
      </w:r>
    </w:p>
    <w:tbl>
      <w:tblPr>
        <w:tblStyle w:val="13"/>
        <w:tblW w:w="5000" w:type="pct"/>
        <w:tblInd w:w="0" w:type="dxa"/>
        <w:tblLayout w:type="autofit"/>
        <w:tblCellMar>
          <w:top w:w="0" w:type="dxa"/>
          <w:left w:w="0" w:type="dxa"/>
          <w:bottom w:w="0" w:type="dxa"/>
          <w:right w:w="0" w:type="dxa"/>
        </w:tblCellMar>
      </w:tblPr>
      <w:tblGrid>
        <w:gridCol w:w="1852"/>
        <w:gridCol w:w="2269"/>
        <w:gridCol w:w="5536"/>
      </w:tblGrid>
      <w:tr>
        <w:tblPrEx>
          <w:tblCellMar>
            <w:top w:w="0" w:type="dxa"/>
            <w:left w:w="0" w:type="dxa"/>
            <w:bottom w:w="0" w:type="dxa"/>
            <w:right w:w="0" w:type="dxa"/>
          </w:tblCellMar>
        </w:tblPrEx>
        <w:tc>
          <w:tcPr>
            <w:tcW w:w="959" w:type="pct"/>
            <w:tcBorders>
              <w:top w:val="single" w:color="auto" w:sz="8" w:space="0"/>
              <w:left w:val="single" w:color="auto" w:sz="8" w:space="0"/>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jc w:val="center"/>
              <w:rPr>
                <w:rFonts w:ascii="等线" w:hAnsi="等线" w:eastAsia="等线"/>
                <w:sz w:val="21"/>
                <w:szCs w:val="21"/>
              </w:rPr>
            </w:pPr>
            <w:r>
              <w:rPr>
                <w:rFonts w:hint="eastAsia"/>
                <w:sz w:val="18"/>
                <w:szCs w:val="18"/>
              </w:rPr>
              <w:t>组合名称</w:t>
            </w:r>
          </w:p>
        </w:tc>
        <w:tc>
          <w:tcPr>
            <w:tcW w:w="1175" w:type="pct"/>
            <w:tcBorders>
              <w:top w:val="single" w:color="auto" w:sz="8" w:space="0"/>
              <w:left w:val="nil"/>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jc w:val="center"/>
              <w:rPr>
                <w:rFonts w:ascii="等线" w:hAnsi="等线" w:eastAsia="等线"/>
                <w:sz w:val="21"/>
                <w:szCs w:val="21"/>
              </w:rPr>
            </w:pPr>
            <w:r>
              <w:rPr>
                <w:rFonts w:hint="eastAsia"/>
                <w:sz w:val="18"/>
                <w:szCs w:val="18"/>
              </w:rPr>
              <w:t>确定组合的依据</w:t>
            </w:r>
          </w:p>
        </w:tc>
        <w:tc>
          <w:tcPr>
            <w:tcW w:w="2866" w:type="pct"/>
            <w:tcBorders>
              <w:top w:val="single" w:color="auto" w:sz="8" w:space="0"/>
              <w:left w:val="nil"/>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jc w:val="center"/>
              <w:rPr>
                <w:rFonts w:ascii="等线" w:hAnsi="等线" w:eastAsia="等线"/>
                <w:sz w:val="21"/>
                <w:szCs w:val="21"/>
              </w:rPr>
            </w:pPr>
            <w:r>
              <w:rPr>
                <w:rFonts w:hint="eastAsia"/>
                <w:sz w:val="18"/>
                <w:szCs w:val="18"/>
              </w:rPr>
              <w:t>计提预期信用损失的方法</w:t>
            </w:r>
          </w:p>
        </w:tc>
      </w:tr>
      <w:tr>
        <w:tblPrEx>
          <w:tblCellMar>
            <w:top w:w="0" w:type="dxa"/>
            <w:left w:w="0" w:type="dxa"/>
            <w:bottom w:w="0" w:type="dxa"/>
            <w:right w:w="0" w:type="dxa"/>
          </w:tblCellMar>
        </w:tblPrEx>
        <w:tc>
          <w:tcPr>
            <w:tcW w:w="959" w:type="pct"/>
            <w:tcBorders>
              <w:top w:val="nil"/>
              <w:left w:val="single" w:color="auto" w:sz="8" w:space="0"/>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rPr>
                <w:rFonts w:ascii="等线" w:hAnsi="等线" w:eastAsia="等线"/>
                <w:sz w:val="21"/>
                <w:szCs w:val="21"/>
              </w:rPr>
            </w:pPr>
            <w:r>
              <w:rPr>
                <w:rFonts w:hint="eastAsia"/>
                <w:sz w:val="18"/>
                <w:szCs w:val="18"/>
              </w:rPr>
              <w:t>合并范围内关联方组合</w:t>
            </w:r>
          </w:p>
        </w:tc>
        <w:tc>
          <w:tcPr>
            <w:tcW w:w="1175" w:type="pct"/>
            <w:tcBorders>
              <w:top w:val="nil"/>
              <w:left w:val="nil"/>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rPr>
                <w:rFonts w:ascii="等线" w:hAnsi="等线" w:eastAsia="等线"/>
                <w:sz w:val="21"/>
                <w:szCs w:val="21"/>
              </w:rPr>
            </w:pPr>
            <w:r>
              <w:rPr>
                <w:rFonts w:hint="eastAsia"/>
                <w:sz w:val="18"/>
                <w:szCs w:val="18"/>
              </w:rPr>
              <w:t>公司将合并范围内公司划分为合并范围内关联方组合</w:t>
            </w:r>
          </w:p>
        </w:tc>
        <w:tc>
          <w:tcPr>
            <w:tcW w:w="2866" w:type="pct"/>
            <w:tcBorders>
              <w:top w:val="nil"/>
              <w:left w:val="nil"/>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rPr>
                <w:rFonts w:ascii="等线" w:hAnsi="等线" w:eastAsia="等线"/>
                <w:sz w:val="21"/>
                <w:szCs w:val="21"/>
              </w:rPr>
            </w:pPr>
            <w:r>
              <w:rPr>
                <w:rFonts w:hint="eastAsia"/>
                <w:sz w:val="18"/>
                <w:szCs w:val="18"/>
              </w:rPr>
              <w:t>参考历史信用损失经验，结合当前状况以及对未来经济状况的预测，通过违约风险敞口和整个存续期预期信用损失率，计算预期信用损失</w:t>
            </w:r>
          </w:p>
        </w:tc>
      </w:tr>
      <w:tr>
        <w:tblPrEx>
          <w:tblCellMar>
            <w:top w:w="0" w:type="dxa"/>
            <w:left w:w="0" w:type="dxa"/>
            <w:bottom w:w="0" w:type="dxa"/>
            <w:right w:w="0" w:type="dxa"/>
          </w:tblCellMar>
        </w:tblPrEx>
        <w:tc>
          <w:tcPr>
            <w:tcW w:w="959" w:type="pct"/>
            <w:tcBorders>
              <w:top w:val="nil"/>
              <w:left w:val="single" w:color="auto" w:sz="8" w:space="0"/>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rPr>
                <w:rFonts w:ascii="等线" w:hAnsi="等线" w:eastAsia="等线"/>
                <w:sz w:val="21"/>
                <w:szCs w:val="21"/>
              </w:rPr>
            </w:pPr>
            <w:r>
              <w:rPr>
                <w:rFonts w:hint="eastAsia"/>
                <w:sz w:val="18"/>
                <w:szCs w:val="18"/>
              </w:rPr>
              <w:t>其他客户组合</w:t>
            </w:r>
          </w:p>
        </w:tc>
        <w:tc>
          <w:tcPr>
            <w:tcW w:w="1175" w:type="pct"/>
            <w:tcBorders>
              <w:top w:val="nil"/>
              <w:left w:val="nil"/>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rPr>
                <w:rFonts w:ascii="等线" w:hAnsi="等线" w:eastAsia="等线"/>
                <w:sz w:val="21"/>
                <w:szCs w:val="21"/>
              </w:rPr>
            </w:pPr>
            <w:r>
              <w:rPr>
                <w:rFonts w:hint="eastAsia"/>
                <w:sz w:val="18"/>
                <w:szCs w:val="18"/>
              </w:rPr>
              <w:t>公司将除合并范围内公司以外的客户划分为其他客户组合</w:t>
            </w:r>
          </w:p>
        </w:tc>
        <w:tc>
          <w:tcPr>
            <w:tcW w:w="2866" w:type="pct"/>
            <w:tcBorders>
              <w:top w:val="nil"/>
              <w:left w:val="nil"/>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rPr>
                <w:rFonts w:ascii="等线" w:hAnsi="等线" w:eastAsia="等线"/>
                <w:sz w:val="21"/>
                <w:szCs w:val="21"/>
              </w:rPr>
            </w:pPr>
            <w:r>
              <w:rPr>
                <w:rFonts w:hint="eastAsia"/>
                <w:sz w:val="18"/>
                <w:szCs w:val="18"/>
              </w:rPr>
              <w:t>参考历史信用损失经验，结合当前状况以及对未来经济状况的预测，编制应收账款账龄与整个存续期预期信用损失率对照表，计算预期信用损失</w:t>
            </w:r>
          </w:p>
        </w:tc>
      </w:tr>
    </w:tbl>
    <w:p>
      <w:pPr>
        <w:pStyle w:val="11"/>
        <w:spacing w:before="120" w:beforeAutospacing="0" w:after="120" w:afterAutospacing="0" w:line="276" w:lineRule="auto"/>
        <w:jc w:val="both"/>
      </w:pPr>
      <w:r>
        <w:rPr>
          <w:rFonts w:hint="eastAsia"/>
          <w:color w:val="000000"/>
          <w:sz w:val="18"/>
          <w:szCs w:val="18"/>
        </w:rPr>
        <w:t>按账龄与整个存续期预期信用损失率对照表计提的相关标准如下：</w:t>
      </w:r>
    </w:p>
    <w:tbl>
      <w:tblPr>
        <w:tblStyle w:val="1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4717"/>
        <w:gridCol w:w="50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2418" w:type="pct"/>
            <w:noWrap/>
            <w:tcMar>
              <w:top w:w="0" w:type="dxa"/>
              <w:left w:w="0" w:type="dxa"/>
              <w:bottom w:w="0" w:type="dxa"/>
              <w:right w:w="108" w:type="dxa"/>
            </w:tcMar>
            <w:vAlign w:val="center"/>
          </w:tcPr>
          <w:p>
            <w:pPr>
              <w:pStyle w:val="11"/>
              <w:spacing w:before="0" w:beforeAutospacing="0" w:after="0" w:afterAutospacing="0"/>
              <w:jc w:val="center"/>
            </w:pPr>
            <w:r>
              <w:rPr>
                <w:rFonts w:hint="eastAsia"/>
                <w:sz w:val="18"/>
                <w:szCs w:val="18"/>
              </w:rPr>
              <w:t>组合名称</w:t>
            </w:r>
          </w:p>
        </w:tc>
        <w:tc>
          <w:tcPr>
            <w:tcW w:w="2582" w:type="pct"/>
            <w:noWrap/>
            <w:tcMar>
              <w:top w:w="0" w:type="dxa"/>
              <w:left w:w="0" w:type="dxa"/>
              <w:bottom w:w="0" w:type="dxa"/>
              <w:right w:w="108" w:type="dxa"/>
            </w:tcMar>
            <w:vAlign w:val="center"/>
          </w:tcPr>
          <w:p>
            <w:pPr>
              <w:pStyle w:val="11"/>
              <w:spacing w:before="0" w:beforeAutospacing="0" w:after="0" w:afterAutospacing="0"/>
              <w:jc w:val="center"/>
            </w:pPr>
            <w:r>
              <w:rPr>
                <w:rFonts w:hint="eastAsia"/>
                <w:sz w:val="18"/>
                <w:szCs w:val="18"/>
              </w:rPr>
              <w:t>应收账款预期信用损失准备率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18" w:type="pct"/>
            <w:tcMar>
              <w:top w:w="0" w:type="dxa"/>
              <w:left w:w="0" w:type="dxa"/>
              <w:bottom w:w="0" w:type="dxa"/>
              <w:right w:w="108" w:type="dxa"/>
            </w:tcMar>
            <w:vAlign w:val="center"/>
          </w:tcPr>
          <w:p>
            <w:pPr>
              <w:pStyle w:val="11"/>
              <w:spacing w:before="0" w:beforeAutospacing="0" w:after="0" w:afterAutospacing="0"/>
              <w:jc w:val="both"/>
            </w:pPr>
            <w:r>
              <w:rPr>
                <w:rFonts w:hint="eastAsia"/>
                <w:sz w:val="18"/>
                <w:szCs w:val="18"/>
              </w:rPr>
              <w:t>1年以内</w:t>
            </w:r>
          </w:p>
        </w:tc>
        <w:tc>
          <w:tcPr>
            <w:tcW w:w="2582" w:type="pct"/>
            <w:noWrap/>
            <w:tcMar>
              <w:top w:w="0" w:type="dxa"/>
              <w:left w:w="0" w:type="dxa"/>
              <w:bottom w:w="0" w:type="dxa"/>
              <w:right w:w="108" w:type="dxa"/>
            </w:tcMar>
            <w:vAlign w:val="center"/>
          </w:tcPr>
          <w:p>
            <w:pPr>
              <w:pStyle w:val="11"/>
              <w:spacing w:before="0" w:beforeAutospacing="0" w:after="0" w:afterAutospacing="0"/>
              <w:jc w:val="right"/>
            </w:pPr>
            <w:r>
              <w:rPr>
                <w:rFonts w:hint="eastAsia"/>
                <w:sz w:val="18"/>
                <w:szCs w:val="18"/>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18" w:type="pct"/>
            <w:tcMar>
              <w:top w:w="0" w:type="dxa"/>
              <w:left w:w="0" w:type="dxa"/>
              <w:bottom w:w="0" w:type="dxa"/>
              <w:right w:w="108" w:type="dxa"/>
            </w:tcMar>
            <w:vAlign w:val="center"/>
          </w:tcPr>
          <w:p>
            <w:pPr>
              <w:pStyle w:val="11"/>
              <w:spacing w:before="0" w:beforeAutospacing="0" w:after="0" w:afterAutospacing="0"/>
              <w:jc w:val="both"/>
            </w:pPr>
            <w:r>
              <w:rPr>
                <w:rFonts w:hint="eastAsia"/>
                <w:sz w:val="18"/>
                <w:szCs w:val="18"/>
              </w:rPr>
              <w:t>1至2年</w:t>
            </w:r>
          </w:p>
        </w:tc>
        <w:tc>
          <w:tcPr>
            <w:tcW w:w="2582" w:type="pct"/>
            <w:tcMar>
              <w:top w:w="0" w:type="dxa"/>
              <w:left w:w="0" w:type="dxa"/>
              <w:bottom w:w="0" w:type="dxa"/>
              <w:right w:w="108" w:type="dxa"/>
            </w:tcMar>
            <w:vAlign w:val="center"/>
          </w:tcPr>
          <w:p>
            <w:pPr>
              <w:pStyle w:val="11"/>
              <w:spacing w:before="0" w:beforeAutospacing="0" w:after="0" w:afterAutospacing="0"/>
              <w:jc w:val="right"/>
            </w:pPr>
            <w:r>
              <w:rPr>
                <w:rFonts w:hint="eastAsia"/>
                <w:sz w:val="18"/>
                <w:szCs w:val="18"/>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18" w:type="pct"/>
            <w:tcMar>
              <w:top w:w="0" w:type="dxa"/>
              <w:left w:w="0" w:type="dxa"/>
              <w:bottom w:w="0" w:type="dxa"/>
              <w:right w:w="108" w:type="dxa"/>
            </w:tcMar>
            <w:vAlign w:val="center"/>
          </w:tcPr>
          <w:p>
            <w:pPr>
              <w:pStyle w:val="11"/>
              <w:spacing w:before="0" w:beforeAutospacing="0" w:after="0" w:afterAutospacing="0"/>
              <w:jc w:val="both"/>
            </w:pPr>
            <w:r>
              <w:rPr>
                <w:rFonts w:hint="eastAsia"/>
                <w:sz w:val="18"/>
                <w:szCs w:val="18"/>
              </w:rPr>
              <w:t>2至3年</w:t>
            </w:r>
          </w:p>
        </w:tc>
        <w:tc>
          <w:tcPr>
            <w:tcW w:w="2582" w:type="pct"/>
            <w:tcMar>
              <w:top w:w="0" w:type="dxa"/>
              <w:left w:w="0" w:type="dxa"/>
              <w:bottom w:w="0" w:type="dxa"/>
              <w:right w:w="108" w:type="dxa"/>
            </w:tcMar>
            <w:vAlign w:val="center"/>
          </w:tcPr>
          <w:p>
            <w:pPr>
              <w:pStyle w:val="11"/>
              <w:spacing w:before="0" w:beforeAutospacing="0" w:after="0" w:afterAutospacing="0"/>
              <w:jc w:val="right"/>
            </w:pPr>
            <w:r>
              <w:rPr>
                <w:rFonts w:hint="eastAsia"/>
                <w:sz w:val="18"/>
                <w:szCs w:val="18"/>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18" w:type="pct"/>
            <w:tcMar>
              <w:top w:w="0" w:type="dxa"/>
              <w:left w:w="0" w:type="dxa"/>
              <w:bottom w:w="0" w:type="dxa"/>
              <w:right w:w="108" w:type="dxa"/>
            </w:tcMar>
            <w:vAlign w:val="center"/>
          </w:tcPr>
          <w:p>
            <w:pPr>
              <w:pStyle w:val="11"/>
              <w:spacing w:before="0" w:beforeAutospacing="0" w:after="0" w:afterAutospacing="0"/>
              <w:jc w:val="both"/>
            </w:pPr>
            <w:r>
              <w:rPr>
                <w:rFonts w:hint="eastAsia"/>
                <w:sz w:val="18"/>
                <w:szCs w:val="18"/>
              </w:rPr>
              <w:t>3至4年</w:t>
            </w:r>
          </w:p>
        </w:tc>
        <w:tc>
          <w:tcPr>
            <w:tcW w:w="2582" w:type="pct"/>
            <w:tcMar>
              <w:top w:w="0" w:type="dxa"/>
              <w:left w:w="0" w:type="dxa"/>
              <w:bottom w:w="0" w:type="dxa"/>
              <w:right w:w="108" w:type="dxa"/>
            </w:tcMar>
            <w:vAlign w:val="center"/>
          </w:tcPr>
          <w:p>
            <w:pPr>
              <w:pStyle w:val="11"/>
              <w:spacing w:before="0" w:beforeAutospacing="0" w:after="0" w:afterAutospacing="0"/>
              <w:jc w:val="right"/>
            </w:pPr>
            <w:r>
              <w:rPr>
                <w:rFonts w:hint="eastAsia"/>
                <w:sz w:val="18"/>
                <w:szCs w:val="18"/>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18" w:type="pct"/>
            <w:tcMar>
              <w:top w:w="0" w:type="dxa"/>
              <w:left w:w="0" w:type="dxa"/>
              <w:bottom w:w="0" w:type="dxa"/>
              <w:right w:w="108" w:type="dxa"/>
            </w:tcMar>
            <w:vAlign w:val="center"/>
          </w:tcPr>
          <w:p>
            <w:pPr>
              <w:pStyle w:val="11"/>
              <w:spacing w:before="0" w:beforeAutospacing="0" w:after="0" w:afterAutospacing="0"/>
              <w:jc w:val="both"/>
            </w:pPr>
            <w:r>
              <w:rPr>
                <w:rFonts w:hint="eastAsia"/>
                <w:sz w:val="18"/>
                <w:szCs w:val="18"/>
              </w:rPr>
              <w:t>4至5年</w:t>
            </w:r>
          </w:p>
        </w:tc>
        <w:tc>
          <w:tcPr>
            <w:tcW w:w="2582" w:type="pct"/>
            <w:tcMar>
              <w:top w:w="0" w:type="dxa"/>
              <w:left w:w="0" w:type="dxa"/>
              <w:bottom w:w="0" w:type="dxa"/>
              <w:right w:w="108" w:type="dxa"/>
            </w:tcMar>
            <w:vAlign w:val="center"/>
          </w:tcPr>
          <w:p>
            <w:pPr>
              <w:pStyle w:val="11"/>
              <w:spacing w:before="0" w:beforeAutospacing="0" w:after="0" w:afterAutospacing="0"/>
              <w:jc w:val="right"/>
            </w:pPr>
            <w:r>
              <w:rPr>
                <w:rFonts w:hint="eastAsia"/>
                <w:sz w:val="18"/>
                <w:szCs w:val="18"/>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18" w:type="pct"/>
            <w:tcMar>
              <w:top w:w="0" w:type="dxa"/>
              <w:left w:w="0" w:type="dxa"/>
              <w:bottom w:w="0" w:type="dxa"/>
              <w:right w:w="108" w:type="dxa"/>
            </w:tcMar>
            <w:vAlign w:val="center"/>
          </w:tcPr>
          <w:p>
            <w:pPr>
              <w:pStyle w:val="11"/>
              <w:spacing w:before="0" w:beforeAutospacing="0" w:after="0" w:afterAutospacing="0"/>
              <w:jc w:val="both"/>
            </w:pPr>
            <w:r>
              <w:rPr>
                <w:rFonts w:hint="eastAsia"/>
                <w:sz w:val="18"/>
                <w:szCs w:val="18"/>
              </w:rPr>
              <w:t>5年以上</w:t>
            </w:r>
          </w:p>
        </w:tc>
        <w:tc>
          <w:tcPr>
            <w:tcW w:w="2582" w:type="pct"/>
            <w:tcMar>
              <w:top w:w="0" w:type="dxa"/>
              <w:left w:w="0" w:type="dxa"/>
              <w:bottom w:w="0" w:type="dxa"/>
              <w:right w:w="108" w:type="dxa"/>
            </w:tcMar>
            <w:vAlign w:val="center"/>
          </w:tcPr>
          <w:p>
            <w:pPr>
              <w:pStyle w:val="11"/>
              <w:spacing w:before="0" w:beforeAutospacing="0" w:after="0" w:afterAutospacing="0"/>
              <w:jc w:val="right"/>
            </w:pPr>
            <w:r>
              <w:rPr>
                <w:rFonts w:hint="eastAsia"/>
                <w:sz w:val="18"/>
                <w:szCs w:val="18"/>
              </w:rPr>
              <w:t>100%</w:t>
            </w:r>
          </w:p>
        </w:tc>
      </w:tr>
    </w:tbl>
    <w:p>
      <w:pPr>
        <w:pStyle w:val="4"/>
        <w:spacing w:line="280" w:lineRule="exact"/>
        <w:jc w:val="left"/>
        <w:rPr>
          <w:rFonts w:ascii="宋体" w:hAnsi="宋体" w:cs="宋体"/>
          <w:b/>
          <w:bCs/>
        </w:rPr>
      </w:pPr>
      <w:bookmarkStart w:id="173" w:name="_Toc989059"/>
      <w:r>
        <w:rPr>
          <w:rFonts w:ascii="宋体" w:hAnsi="宋体" w:cs="宋体"/>
          <w:b/>
          <w:bCs/>
        </w:rPr>
        <w:t>12、其他应收款</w:t>
      </w:r>
      <w:bookmarkEnd w:id="173"/>
    </w:p>
    <w:p>
      <w:pPr>
        <w:spacing w:before="100" w:after="100" w:line="240" w:lineRule="exact"/>
        <w:rPr>
          <w:rFonts w:ascii="宋体" w:hAnsi="宋体" w:eastAsia="宋体" w:cs="宋体"/>
          <w:sz w:val="18"/>
          <w:szCs w:val="18"/>
        </w:rPr>
      </w:pPr>
      <w:r>
        <w:rPr>
          <w:rFonts w:ascii="宋体" w:hAnsi="宋体" w:eastAsia="宋体" w:cs="宋体"/>
          <w:sz w:val="18"/>
          <w:szCs w:val="18"/>
        </w:rPr>
        <w:t>其他应收款的预期信用损失的确定方法及会计处理方法</w:t>
      </w:r>
    </w:p>
    <w:p>
      <w:pPr>
        <w:pStyle w:val="11"/>
        <w:spacing w:before="40" w:beforeAutospacing="0" w:after="40" w:afterAutospacing="0"/>
        <w:ind w:firstLine="360"/>
        <w:rPr>
          <w:rFonts w:ascii="等线" w:hAnsi="等线" w:eastAsia="等线"/>
          <w:sz w:val="21"/>
          <w:szCs w:val="21"/>
        </w:rPr>
      </w:pPr>
      <w:r>
        <w:rPr>
          <w:rFonts w:hint="eastAsia"/>
          <w:sz w:val="18"/>
          <w:szCs w:val="18"/>
        </w:rPr>
        <w:t>本公司对其他应收款的预期信用损失的确定方法及会计处理方法详见本附注五、9、金融工具减值。</w:t>
      </w:r>
    </w:p>
    <w:p>
      <w:pPr>
        <w:pStyle w:val="11"/>
        <w:spacing w:before="40" w:beforeAutospacing="0" w:after="40" w:afterAutospacing="0"/>
        <w:ind w:firstLine="360"/>
        <w:rPr>
          <w:rFonts w:ascii="等线" w:hAnsi="等线" w:eastAsia="等线"/>
          <w:sz w:val="21"/>
          <w:szCs w:val="21"/>
        </w:rPr>
      </w:pPr>
      <w:r>
        <w:rPr>
          <w:rFonts w:hint="eastAsia"/>
          <w:sz w:val="18"/>
          <w:szCs w:val="18"/>
        </w:rPr>
        <w:t>本公司对在单项工具层面能以合理成本评估预期信用损失的充分证据的其他应收款单独确定其信用损失。</w:t>
      </w:r>
    </w:p>
    <w:p>
      <w:pPr>
        <w:pStyle w:val="11"/>
        <w:spacing w:before="40" w:beforeAutospacing="0" w:after="40" w:afterAutospacing="0"/>
        <w:ind w:firstLine="360"/>
        <w:rPr>
          <w:rFonts w:ascii="等线" w:hAnsi="等线" w:eastAsia="等线"/>
          <w:sz w:val="21"/>
          <w:szCs w:val="21"/>
        </w:rPr>
      </w:pPr>
      <w:r>
        <w:rPr>
          <w:rFonts w:hint="eastAsia"/>
          <w:sz w:val="18"/>
          <w:szCs w:val="18"/>
        </w:rPr>
        <w:t>当在单项工具层面无法以合理成本评估预期信用损失的充分证据时，本公司参考历史信用损失经验，结合当前状况以及对未来经济状况的判断，依据信用风险特征将其他应收款划分为若干组合，在组合基础上计算预期信用损失。确定组合的依据如下：</w:t>
      </w:r>
    </w:p>
    <w:tbl>
      <w:tblPr>
        <w:tblStyle w:val="13"/>
        <w:tblW w:w="9660" w:type="dxa"/>
        <w:tblInd w:w="0" w:type="dxa"/>
        <w:tblLayout w:type="autofit"/>
        <w:tblCellMar>
          <w:top w:w="0" w:type="dxa"/>
          <w:left w:w="0" w:type="dxa"/>
          <w:bottom w:w="0" w:type="dxa"/>
          <w:right w:w="0" w:type="dxa"/>
        </w:tblCellMar>
      </w:tblPr>
      <w:tblGrid>
        <w:gridCol w:w="1843"/>
        <w:gridCol w:w="2268"/>
        <w:gridCol w:w="5549"/>
      </w:tblGrid>
      <w:tr>
        <w:tblPrEx>
          <w:tblCellMar>
            <w:top w:w="0" w:type="dxa"/>
            <w:left w:w="0" w:type="dxa"/>
            <w:bottom w:w="0" w:type="dxa"/>
            <w:right w:w="0" w:type="dxa"/>
          </w:tblCellMar>
        </w:tblPrEx>
        <w:tc>
          <w:tcPr>
            <w:tcW w:w="1843" w:type="dxa"/>
            <w:tcBorders>
              <w:top w:val="single" w:color="auto" w:sz="8" w:space="0"/>
              <w:left w:val="single" w:color="auto" w:sz="8" w:space="0"/>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jc w:val="center"/>
              <w:rPr>
                <w:rFonts w:ascii="等线" w:hAnsi="等线" w:eastAsia="等线"/>
                <w:sz w:val="21"/>
                <w:szCs w:val="21"/>
              </w:rPr>
            </w:pPr>
            <w:r>
              <w:rPr>
                <w:rFonts w:hint="eastAsia"/>
                <w:sz w:val="18"/>
                <w:szCs w:val="18"/>
              </w:rPr>
              <w:t>组合名称</w:t>
            </w:r>
          </w:p>
        </w:tc>
        <w:tc>
          <w:tcPr>
            <w:tcW w:w="2268" w:type="dxa"/>
            <w:tcBorders>
              <w:top w:val="single" w:color="auto" w:sz="8" w:space="0"/>
              <w:left w:val="nil"/>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jc w:val="center"/>
              <w:rPr>
                <w:rFonts w:ascii="等线" w:hAnsi="等线" w:eastAsia="等线"/>
                <w:sz w:val="21"/>
                <w:szCs w:val="21"/>
              </w:rPr>
            </w:pPr>
            <w:r>
              <w:rPr>
                <w:rFonts w:hint="eastAsia"/>
                <w:sz w:val="18"/>
                <w:szCs w:val="18"/>
              </w:rPr>
              <w:t>确定组合的依据</w:t>
            </w:r>
          </w:p>
        </w:tc>
        <w:tc>
          <w:tcPr>
            <w:tcW w:w="5547" w:type="dxa"/>
            <w:tcBorders>
              <w:top w:val="single" w:color="auto" w:sz="8" w:space="0"/>
              <w:left w:val="nil"/>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jc w:val="center"/>
              <w:rPr>
                <w:rFonts w:ascii="等线" w:hAnsi="等线" w:eastAsia="等线"/>
                <w:sz w:val="21"/>
                <w:szCs w:val="21"/>
              </w:rPr>
            </w:pPr>
            <w:r>
              <w:rPr>
                <w:rFonts w:hint="eastAsia"/>
                <w:sz w:val="18"/>
                <w:szCs w:val="18"/>
              </w:rPr>
              <w:t>计提预期信用损失的方法</w:t>
            </w:r>
          </w:p>
        </w:tc>
      </w:tr>
      <w:tr>
        <w:tblPrEx>
          <w:tblCellMar>
            <w:top w:w="0" w:type="dxa"/>
            <w:left w:w="0" w:type="dxa"/>
            <w:bottom w:w="0" w:type="dxa"/>
            <w:right w:w="0" w:type="dxa"/>
          </w:tblCellMar>
        </w:tblPrEx>
        <w:tc>
          <w:tcPr>
            <w:tcW w:w="1843" w:type="dxa"/>
            <w:tcBorders>
              <w:top w:val="nil"/>
              <w:left w:val="single" w:color="auto" w:sz="8" w:space="0"/>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rPr>
                <w:rFonts w:ascii="等线" w:hAnsi="等线" w:eastAsia="等线"/>
                <w:sz w:val="21"/>
                <w:szCs w:val="21"/>
              </w:rPr>
            </w:pPr>
            <w:r>
              <w:rPr>
                <w:rFonts w:hint="eastAsia"/>
                <w:sz w:val="18"/>
                <w:szCs w:val="18"/>
              </w:rPr>
              <w:t>合并范围内关联方组合</w:t>
            </w:r>
          </w:p>
        </w:tc>
        <w:tc>
          <w:tcPr>
            <w:tcW w:w="2268" w:type="dxa"/>
            <w:tcBorders>
              <w:top w:val="nil"/>
              <w:left w:val="nil"/>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rPr>
                <w:rFonts w:ascii="等线" w:hAnsi="等线" w:eastAsia="等线"/>
                <w:sz w:val="21"/>
                <w:szCs w:val="21"/>
              </w:rPr>
            </w:pPr>
            <w:r>
              <w:rPr>
                <w:rFonts w:hint="eastAsia"/>
                <w:sz w:val="18"/>
                <w:szCs w:val="18"/>
              </w:rPr>
              <w:t>公司将合并范围内公司划分为合并范围内关联方组合</w:t>
            </w:r>
          </w:p>
        </w:tc>
        <w:tc>
          <w:tcPr>
            <w:tcW w:w="5547" w:type="dxa"/>
            <w:tcBorders>
              <w:top w:val="nil"/>
              <w:left w:val="nil"/>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rPr>
                <w:rFonts w:ascii="等线" w:hAnsi="等线" w:eastAsia="等线"/>
                <w:sz w:val="21"/>
                <w:szCs w:val="21"/>
              </w:rPr>
            </w:pPr>
            <w:r>
              <w:rPr>
                <w:rFonts w:hint="eastAsia"/>
                <w:sz w:val="18"/>
                <w:szCs w:val="18"/>
              </w:rPr>
              <w:t>参考历史信用损失经验，结合当前状况以及对未来经济状况的预测，通过违约风险敞口和整个存续期预期信用损失率，计算 预期信用损失</w:t>
            </w:r>
          </w:p>
        </w:tc>
      </w:tr>
      <w:tr>
        <w:tblPrEx>
          <w:tblCellMar>
            <w:top w:w="0" w:type="dxa"/>
            <w:left w:w="0" w:type="dxa"/>
            <w:bottom w:w="0" w:type="dxa"/>
            <w:right w:w="0" w:type="dxa"/>
          </w:tblCellMar>
        </w:tblPrEx>
        <w:tc>
          <w:tcPr>
            <w:tcW w:w="1843" w:type="dxa"/>
            <w:tcBorders>
              <w:top w:val="nil"/>
              <w:left w:val="single" w:color="auto" w:sz="8" w:space="0"/>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rPr>
                <w:rFonts w:ascii="等线" w:hAnsi="等线" w:eastAsia="等线"/>
                <w:sz w:val="21"/>
                <w:szCs w:val="21"/>
              </w:rPr>
            </w:pPr>
            <w:r>
              <w:rPr>
                <w:rFonts w:hint="eastAsia"/>
                <w:sz w:val="18"/>
                <w:szCs w:val="18"/>
              </w:rPr>
              <w:t>其他客户组合</w:t>
            </w:r>
          </w:p>
        </w:tc>
        <w:tc>
          <w:tcPr>
            <w:tcW w:w="2268" w:type="dxa"/>
            <w:tcBorders>
              <w:top w:val="nil"/>
              <w:left w:val="nil"/>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rPr>
                <w:rFonts w:ascii="等线" w:hAnsi="等线" w:eastAsia="等线"/>
                <w:sz w:val="21"/>
                <w:szCs w:val="21"/>
              </w:rPr>
            </w:pPr>
            <w:r>
              <w:rPr>
                <w:rFonts w:hint="eastAsia"/>
                <w:sz w:val="18"/>
                <w:szCs w:val="18"/>
              </w:rPr>
              <w:t>公司将除合并范围内公司以外的客户划分为其他客户组合</w:t>
            </w:r>
          </w:p>
        </w:tc>
        <w:tc>
          <w:tcPr>
            <w:tcW w:w="5547" w:type="dxa"/>
            <w:tcBorders>
              <w:top w:val="nil"/>
              <w:left w:val="nil"/>
              <w:bottom w:val="single" w:color="auto" w:sz="8" w:space="0"/>
              <w:right w:val="single" w:color="auto" w:sz="8" w:space="0"/>
            </w:tcBorders>
            <w:tcMar>
              <w:top w:w="10" w:type="dxa"/>
              <w:left w:w="10" w:type="dxa"/>
              <w:bottom w:w="10" w:type="dxa"/>
              <w:right w:w="10" w:type="dxa"/>
            </w:tcMar>
          </w:tcPr>
          <w:p>
            <w:pPr>
              <w:pStyle w:val="11"/>
              <w:spacing w:before="0" w:beforeAutospacing="0" w:after="0" w:afterAutospacing="0"/>
              <w:rPr>
                <w:rFonts w:ascii="等线" w:hAnsi="等线" w:eastAsia="等线"/>
                <w:sz w:val="21"/>
                <w:szCs w:val="21"/>
              </w:rPr>
            </w:pPr>
            <w:r>
              <w:rPr>
                <w:rFonts w:hint="eastAsia"/>
                <w:sz w:val="18"/>
                <w:szCs w:val="18"/>
              </w:rPr>
              <w:t>参考历史信用损失经验，结合当前状况以及对未来经济状况的预测，编制应收账款账龄与整个存续期预期信用损失率对照表，计算预期信用损失</w:t>
            </w:r>
          </w:p>
        </w:tc>
      </w:tr>
    </w:tbl>
    <w:p>
      <w:pPr>
        <w:pStyle w:val="11"/>
        <w:spacing w:before="120" w:beforeAutospacing="0" w:after="120" w:afterAutospacing="0" w:line="276" w:lineRule="auto"/>
        <w:jc w:val="both"/>
      </w:pPr>
      <w:r>
        <w:rPr>
          <w:rFonts w:hint="eastAsia"/>
          <w:color w:val="000000"/>
          <w:sz w:val="18"/>
          <w:szCs w:val="18"/>
        </w:rPr>
        <w:t>按账龄与整个存续期预期信用损失率对照表计提的相关标准如下：</w:t>
      </w:r>
    </w:p>
    <w:tbl>
      <w:tblPr>
        <w:tblStyle w:val="1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4727"/>
        <w:gridCol w:w="50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2423" w:type="pct"/>
            <w:noWrap/>
            <w:tcMar>
              <w:top w:w="0" w:type="dxa"/>
              <w:left w:w="0" w:type="dxa"/>
              <w:bottom w:w="0" w:type="dxa"/>
              <w:right w:w="108" w:type="dxa"/>
            </w:tcMar>
            <w:vAlign w:val="center"/>
          </w:tcPr>
          <w:p>
            <w:pPr>
              <w:pStyle w:val="11"/>
              <w:spacing w:before="0" w:beforeAutospacing="0" w:after="0" w:afterAutospacing="0"/>
              <w:jc w:val="center"/>
            </w:pPr>
            <w:r>
              <w:rPr>
                <w:rFonts w:hint="eastAsia"/>
                <w:sz w:val="18"/>
                <w:szCs w:val="18"/>
              </w:rPr>
              <w:t>组合名称</w:t>
            </w:r>
          </w:p>
        </w:tc>
        <w:tc>
          <w:tcPr>
            <w:tcW w:w="2576" w:type="pct"/>
            <w:noWrap/>
            <w:tcMar>
              <w:top w:w="0" w:type="dxa"/>
              <w:left w:w="0" w:type="dxa"/>
              <w:bottom w:w="0" w:type="dxa"/>
              <w:right w:w="108" w:type="dxa"/>
            </w:tcMar>
            <w:vAlign w:val="center"/>
          </w:tcPr>
          <w:p>
            <w:pPr>
              <w:pStyle w:val="11"/>
              <w:spacing w:before="0" w:beforeAutospacing="0" w:after="0" w:afterAutospacing="0"/>
              <w:jc w:val="center"/>
            </w:pPr>
            <w:r>
              <w:rPr>
                <w:rFonts w:hint="eastAsia"/>
                <w:sz w:val="18"/>
                <w:szCs w:val="18"/>
              </w:rPr>
              <w:t>其他应收款预期信用损失准备率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23" w:type="pct"/>
            <w:tcMar>
              <w:top w:w="0" w:type="dxa"/>
              <w:left w:w="0" w:type="dxa"/>
              <w:bottom w:w="0" w:type="dxa"/>
              <w:right w:w="108" w:type="dxa"/>
            </w:tcMar>
            <w:vAlign w:val="center"/>
          </w:tcPr>
          <w:p>
            <w:pPr>
              <w:pStyle w:val="11"/>
              <w:spacing w:before="0" w:beforeAutospacing="0" w:after="0" w:afterAutospacing="0"/>
            </w:pPr>
            <w:r>
              <w:rPr>
                <w:rFonts w:hint="eastAsia"/>
                <w:sz w:val="18"/>
                <w:szCs w:val="18"/>
              </w:rPr>
              <w:t>1年以内</w:t>
            </w:r>
          </w:p>
        </w:tc>
        <w:tc>
          <w:tcPr>
            <w:tcW w:w="2576" w:type="pct"/>
            <w:noWrap/>
            <w:tcMar>
              <w:top w:w="0" w:type="dxa"/>
              <w:left w:w="0" w:type="dxa"/>
              <w:bottom w:w="0" w:type="dxa"/>
              <w:right w:w="108" w:type="dxa"/>
            </w:tcMar>
            <w:vAlign w:val="center"/>
          </w:tcPr>
          <w:p>
            <w:pPr>
              <w:pStyle w:val="11"/>
              <w:spacing w:before="0" w:beforeAutospacing="0" w:after="0" w:afterAutospacing="0"/>
              <w:jc w:val="right"/>
            </w:pPr>
            <w:r>
              <w:rPr>
                <w:rFonts w:hint="eastAsia"/>
                <w:sz w:val="18"/>
                <w:szCs w:val="18"/>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23" w:type="pct"/>
            <w:tcMar>
              <w:top w:w="0" w:type="dxa"/>
              <w:left w:w="0" w:type="dxa"/>
              <w:bottom w:w="0" w:type="dxa"/>
              <w:right w:w="108" w:type="dxa"/>
            </w:tcMar>
            <w:vAlign w:val="center"/>
          </w:tcPr>
          <w:p>
            <w:pPr>
              <w:pStyle w:val="11"/>
              <w:spacing w:before="0" w:beforeAutospacing="0" w:after="0" w:afterAutospacing="0"/>
            </w:pPr>
            <w:r>
              <w:rPr>
                <w:rFonts w:hint="eastAsia"/>
                <w:sz w:val="18"/>
                <w:szCs w:val="18"/>
              </w:rPr>
              <w:t>1至2年</w:t>
            </w:r>
          </w:p>
        </w:tc>
        <w:tc>
          <w:tcPr>
            <w:tcW w:w="2576" w:type="pct"/>
            <w:tcMar>
              <w:top w:w="0" w:type="dxa"/>
              <w:left w:w="0" w:type="dxa"/>
              <w:bottom w:w="0" w:type="dxa"/>
              <w:right w:w="108" w:type="dxa"/>
            </w:tcMar>
            <w:vAlign w:val="center"/>
          </w:tcPr>
          <w:p>
            <w:pPr>
              <w:pStyle w:val="11"/>
              <w:spacing w:before="0" w:beforeAutospacing="0" w:after="0" w:afterAutospacing="0"/>
              <w:jc w:val="right"/>
            </w:pPr>
            <w:r>
              <w:rPr>
                <w:rFonts w:hint="eastAsia"/>
                <w:sz w:val="18"/>
                <w:szCs w:val="18"/>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23" w:type="pct"/>
            <w:tcMar>
              <w:top w:w="0" w:type="dxa"/>
              <w:left w:w="0" w:type="dxa"/>
              <w:bottom w:w="0" w:type="dxa"/>
              <w:right w:w="108" w:type="dxa"/>
            </w:tcMar>
            <w:vAlign w:val="center"/>
          </w:tcPr>
          <w:p>
            <w:pPr>
              <w:pStyle w:val="11"/>
              <w:spacing w:before="0" w:beforeAutospacing="0" w:after="0" w:afterAutospacing="0"/>
            </w:pPr>
            <w:r>
              <w:rPr>
                <w:rFonts w:hint="eastAsia"/>
                <w:sz w:val="18"/>
                <w:szCs w:val="18"/>
              </w:rPr>
              <w:t>2至3年</w:t>
            </w:r>
          </w:p>
        </w:tc>
        <w:tc>
          <w:tcPr>
            <w:tcW w:w="2576" w:type="pct"/>
            <w:tcMar>
              <w:top w:w="0" w:type="dxa"/>
              <w:left w:w="0" w:type="dxa"/>
              <w:bottom w:w="0" w:type="dxa"/>
              <w:right w:w="108" w:type="dxa"/>
            </w:tcMar>
            <w:vAlign w:val="center"/>
          </w:tcPr>
          <w:p>
            <w:pPr>
              <w:pStyle w:val="11"/>
              <w:spacing w:before="0" w:beforeAutospacing="0" w:after="0" w:afterAutospacing="0"/>
              <w:jc w:val="right"/>
            </w:pPr>
            <w:r>
              <w:rPr>
                <w:rFonts w:hint="eastAsia"/>
                <w:sz w:val="18"/>
                <w:szCs w:val="18"/>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23" w:type="pct"/>
            <w:tcMar>
              <w:top w:w="0" w:type="dxa"/>
              <w:left w:w="0" w:type="dxa"/>
              <w:bottom w:w="0" w:type="dxa"/>
              <w:right w:w="108" w:type="dxa"/>
            </w:tcMar>
            <w:vAlign w:val="center"/>
          </w:tcPr>
          <w:p>
            <w:pPr>
              <w:pStyle w:val="11"/>
              <w:spacing w:before="0" w:beforeAutospacing="0" w:after="0" w:afterAutospacing="0"/>
            </w:pPr>
            <w:r>
              <w:rPr>
                <w:rFonts w:hint="eastAsia"/>
                <w:sz w:val="18"/>
                <w:szCs w:val="18"/>
              </w:rPr>
              <w:t>3至4年</w:t>
            </w:r>
          </w:p>
        </w:tc>
        <w:tc>
          <w:tcPr>
            <w:tcW w:w="2576" w:type="pct"/>
            <w:tcMar>
              <w:top w:w="0" w:type="dxa"/>
              <w:left w:w="0" w:type="dxa"/>
              <w:bottom w:w="0" w:type="dxa"/>
              <w:right w:w="108" w:type="dxa"/>
            </w:tcMar>
            <w:vAlign w:val="center"/>
          </w:tcPr>
          <w:p>
            <w:pPr>
              <w:pStyle w:val="11"/>
              <w:spacing w:before="0" w:beforeAutospacing="0" w:after="0" w:afterAutospacing="0"/>
              <w:jc w:val="right"/>
            </w:pPr>
            <w:r>
              <w:rPr>
                <w:rFonts w:hint="eastAsia"/>
                <w:sz w:val="18"/>
                <w:szCs w:val="18"/>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23" w:type="pct"/>
            <w:tcMar>
              <w:top w:w="0" w:type="dxa"/>
              <w:left w:w="0" w:type="dxa"/>
              <w:bottom w:w="0" w:type="dxa"/>
              <w:right w:w="108" w:type="dxa"/>
            </w:tcMar>
            <w:vAlign w:val="center"/>
          </w:tcPr>
          <w:p>
            <w:pPr>
              <w:pStyle w:val="11"/>
              <w:spacing w:before="0" w:beforeAutospacing="0" w:after="0" w:afterAutospacing="0"/>
            </w:pPr>
            <w:r>
              <w:rPr>
                <w:rFonts w:hint="eastAsia"/>
                <w:sz w:val="18"/>
                <w:szCs w:val="18"/>
              </w:rPr>
              <w:t>4至5年</w:t>
            </w:r>
          </w:p>
        </w:tc>
        <w:tc>
          <w:tcPr>
            <w:tcW w:w="2576" w:type="pct"/>
            <w:tcMar>
              <w:top w:w="0" w:type="dxa"/>
              <w:left w:w="0" w:type="dxa"/>
              <w:bottom w:w="0" w:type="dxa"/>
              <w:right w:w="108" w:type="dxa"/>
            </w:tcMar>
            <w:vAlign w:val="center"/>
          </w:tcPr>
          <w:p>
            <w:pPr>
              <w:pStyle w:val="11"/>
              <w:spacing w:before="0" w:beforeAutospacing="0" w:after="0" w:afterAutospacing="0"/>
              <w:jc w:val="right"/>
            </w:pPr>
            <w:r>
              <w:rPr>
                <w:rFonts w:hint="eastAsia"/>
                <w:sz w:val="18"/>
                <w:szCs w:val="18"/>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2423" w:type="pct"/>
            <w:tcMar>
              <w:top w:w="0" w:type="dxa"/>
              <w:left w:w="0" w:type="dxa"/>
              <w:bottom w:w="0" w:type="dxa"/>
              <w:right w:w="108" w:type="dxa"/>
            </w:tcMar>
            <w:vAlign w:val="center"/>
          </w:tcPr>
          <w:p>
            <w:pPr>
              <w:pStyle w:val="11"/>
              <w:spacing w:before="0" w:beforeAutospacing="0" w:after="0" w:afterAutospacing="0"/>
            </w:pPr>
            <w:r>
              <w:rPr>
                <w:rFonts w:hint="eastAsia"/>
                <w:sz w:val="18"/>
                <w:szCs w:val="18"/>
              </w:rPr>
              <w:t>5年以上</w:t>
            </w:r>
          </w:p>
        </w:tc>
        <w:tc>
          <w:tcPr>
            <w:tcW w:w="2576" w:type="pct"/>
            <w:tcMar>
              <w:top w:w="0" w:type="dxa"/>
              <w:left w:w="0" w:type="dxa"/>
              <w:bottom w:w="0" w:type="dxa"/>
              <w:right w:w="108" w:type="dxa"/>
            </w:tcMar>
            <w:vAlign w:val="center"/>
          </w:tcPr>
          <w:p>
            <w:pPr>
              <w:pStyle w:val="11"/>
              <w:spacing w:before="0" w:beforeAutospacing="0" w:after="0" w:afterAutospacing="0"/>
              <w:jc w:val="right"/>
            </w:pPr>
            <w:r>
              <w:rPr>
                <w:rFonts w:hint="eastAsia"/>
                <w:sz w:val="18"/>
                <w:szCs w:val="18"/>
              </w:rPr>
              <w:t>100%</w:t>
            </w:r>
          </w:p>
        </w:tc>
      </w:tr>
    </w:tbl>
    <w:p>
      <w:pPr>
        <w:pStyle w:val="4"/>
        <w:spacing w:line="280" w:lineRule="exact"/>
        <w:jc w:val="left"/>
        <w:rPr>
          <w:rFonts w:ascii="宋体" w:hAnsi="宋体" w:cs="宋体"/>
          <w:b/>
          <w:bCs/>
        </w:rPr>
      </w:pPr>
      <w:bookmarkStart w:id="174" w:name="_Toc989060"/>
      <w:r>
        <w:rPr>
          <w:rFonts w:ascii="宋体" w:hAnsi="宋体" w:cs="宋体"/>
          <w:b/>
          <w:bCs/>
        </w:rPr>
        <w:t>13、存货</w:t>
      </w:r>
      <w:bookmarkEnd w:id="174"/>
    </w:p>
    <w:p>
      <w:pPr>
        <w:pStyle w:val="11"/>
        <w:spacing w:before="40" w:beforeAutospacing="0" w:after="40" w:afterAutospacing="0"/>
        <w:ind w:firstLine="360"/>
        <w:rPr>
          <w:rFonts w:ascii="等线" w:hAnsi="等线" w:eastAsia="等线"/>
          <w:sz w:val="21"/>
          <w:szCs w:val="21"/>
        </w:rPr>
      </w:pPr>
      <w:r>
        <w:rPr>
          <w:rFonts w:hint="eastAsia"/>
          <w:sz w:val="18"/>
          <w:szCs w:val="18"/>
        </w:rPr>
        <w:t>1、存货的分类</w:t>
      </w:r>
    </w:p>
    <w:p>
      <w:pPr>
        <w:pStyle w:val="11"/>
        <w:spacing w:before="40" w:beforeAutospacing="0" w:after="40" w:afterAutospacing="0"/>
        <w:ind w:firstLine="360"/>
        <w:rPr>
          <w:rFonts w:ascii="等线" w:hAnsi="等线" w:eastAsia="等线"/>
          <w:sz w:val="21"/>
          <w:szCs w:val="21"/>
        </w:rPr>
      </w:pPr>
      <w:r>
        <w:rPr>
          <w:rFonts w:hint="eastAsia"/>
          <w:sz w:val="18"/>
          <w:szCs w:val="18"/>
        </w:rPr>
        <w:t>存货分类为：</w:t>
      </w:r>
      <w:bookmarkStart w:id="175" w:name="_Hlk65158648"/>
      <w:bookmarkEnd w:id="175"/>
      <w:r>
        <w:rPr>
          <w:rFonts w:hint="eastAsia"/>
          <w:sz w:val="18"/>
          <w:szCs w:val="18"/>
        </w:rPr>
        <w:t>原材料、产成品、在产品、发出商品、委托加工物资、周转材料、合同履约成本等七大类。</w:t>
      </w:r>
    </w:p>
    <w:p>
      <w:pPr>
        <w:pStyle w:val="11"/>
        <w:spacing w:before="40" w:beforeAutospacing="0" w:after="40" w:afterAutospacing="0"/>
        <w:ind w:firstLine="360"/>
        <w:rPr>
          <w:rFonts w:ascii="等线" w:hAnsi="等线" w:eastAsia="等线"/>
          <w:sz w:val="21"/>
          <w:szCs w:val="21"/>
        </w:rPr>
      </w:pPr>
      <w:r>
        <w:rPr>
          <w:rFonts w:hint="eastAsia"/>
          <w:sz w:val="18"/>
          <w:szCs w:val="18"/>
        </w:rPr>
        <w:t>2、取得和发出存货的计价方法</w:t>
      </w:r>
    </w:p>
    <w:p>
      <w:pPr>
        <w:pStyle w:val="11"/>
        <w:spacing w:before="40" w:beforeAutospacing="0" w:after="40" w:afterAutospacing="0"/>
        <w:ind w:firstLine="360"/>
        <w:rPr>
          <w:rFonts w:ascii="等线" w:hAnsi="等线" w:eastAsia="等线"/>
          <w:sz w:val="21"/>
          <w:szCs w:val="21"/>
        </w:rPr>
      </w:pPr>
      <w:bookmarkStart w:id="176" w:name="_Hlk65158746"/>
      <w:bookmarkEnd w:id="176"/>
      <w:r>
        <w:rPr>
          <w:rFonts w:hint="eastAsia"/>
          <w:sz w:val="18"/>
          <w:szCs w:val="18"/>
        </w:rPr>
        <w:t>存货在取得时按实际成本计价，存货成本包括采购成本、加工成本和其他成本。领用和发出时按加权平均法计价。</w:t>
      </w:r>
    </w:p>
    <w:p>
      <w:pPr>
        <w:pStyle w:val="11"/>
        <w:spacing w:before="40" w:beforeAutospacing="0" w:after="40" w:afterAutospacing="0"/>
        <w:ind w:firstLine="360"/>
        <w:rPr>
          <w:rFonts w:ascii="等线" w:hAnsi="等线" w:eastAsia="等线"/>
          <w:sz w:val="21"/>
          <w:szCs w:val="21"/>
        </w:rPr>
      </w:pPr>
      <w:r>
        <w:rPr>
          <w:rFonts w:hint="eastAsia"/>
          <w:sz w:val="18"/>
          <w:szCs w:val="18"/>
        </w:rPr>
        <w:t>3、合同履约成本的计价方法</w:t>
      </w:r>
    </w:p>
    <w:p>
      <w:pPr>
        <w:pStyle w:val="11"/>
        <w:spacing w:before="40" w:beforeAutospacing="0" w:after="40" w:afterAutospacing="0"/>
        <w:ind w:firstLine="360"/>
        <w:rPr>
          <w:rFonts w:ascii="等线" w:hAnsi="等线" w:eastAsia="等线"/>
          <w:sz w:val="21"/>
          <w:szCs w:val="21"/>
        </w:rPr>
      </w:pPr>
      <w:bookmarkStart w:id="177" w:name="_Hlk65159027"/>
      <w:bookmarkEnd w:id="177"/>
      <w:r>
        <w:rPr>
          <w:rFonts w:hint="eastAsia"/>
          <w:sz w:val="18"/>
          <w:szCs w:val="18"/>
        </w:rPr>
        <w:t>合同履约成本是指与合同直接相关的成本包括直接人工、直接材料、制造费用、明确由客户承担的成本以及仅因该合同而发生的其他成本，于发生时按实际成本计量。但下列支出发生时，将其计入当期损益：一是管理费用，除非这些费用由客户承担；二是非正常消耗的直接材料、直接人工和制造费用；三是与履约义务中已履行（包括已全部履行或部分履行）部分相关的支出，即该支出与公司过去的履约活动相关；四是无法在尚未履行的与已履行（或已部分履行）的履约义务之部区分的相关支出。</w:t>
      </w:r>
    </w:p>
    <w:p>
      <w:pPr>
        <w:pStyle w:val="11"/>
        <w:spacing w:before="40" w:beforeAutospacing="0" w:after="40" w:afterAutospacing="0"/>
        <w:ind w:firstLine="360"/>
        <w:rPr>
          <w:rFonts w:ascii="等线" w:hAnsi="等线" w:eastAsia="等线"/>
          <w:sz w:val="21"/>
          <w:szCs w:val="21"/>
        </w:rPr>
      </w:pPr>
      <w:r>
        <w:rPr>
          <w:rFonts w:hint="eastAsia"/>
          <w:sz w:val="18"/>
          <w:szCs w:val="18"/>
        </w:rPr>
        <w:t>4、存货可变现净值的确定依据及存货跌价准备的计提方法</w:t>
      </w:r>
    </w:p>
    <w:p>
      <w:pPr>
        <w:pStyle w:val="11"/>
        <w:spacing w:before="40" w:beforeAutospacing="0" w:after="40" w:afterAutospacing="0"/>
        <w:ind w:firstLine="360"/>
        <w:rPr>
          <w:rFonts w:ascii="等线" w:hAnsi="等线" w:eastAsia="等线"/>
          <w:sz w:val="21"/>
          <w:szCs w:val="21"/>
        </w:rPr>
      </w:pPr>
      <w:r>
        <w:rPr>
          <w:rFonts w:hint="eastAsia"/>
          <w:sz w:val="18"/>
          <w:szCs w:val="18"/>
        </w:rPr>
        <w:t>可变现净值是指在日常活动中，存货的估计售价减去至完工时估计将要发生的成本、估计的销售费用以及相关税费后的金额。在确定存货的可变现净值时，以取得的确凿证据为基础，同时考虑持有存货的目的以及资产负债表日后事项的影响。</w:t>
      </w:r>
    </w:p>
    <w:p>
      <w:pPr>
        <w:pStyle w:val="11"/>
        <w:spacing w:before="40" w:beforeAutospacing="0" w:after="40" w:afterAutospacing="0"/>
        <w:ind w:firstLine="360"/>
        <w:rPr>
          <w:rFonts w:ascii="等线" w:hAnsi="等线" w:eastAsia="等线"/>
          <w:sz w:val="21"/>
          <w:szCs w:val="21"/>
        </w:rPr>
      </w:pPr>
      <w:r>
        <w:rPr>
          <w:rFonts w:hint="eastAsia"/>
          <w:sz w:val="18"/>
          <w:szCs w:val="18"/>
        </w:rPr>
        <w:t>在资产负债表日，存货按照成本与可变现净值孰低计量。当其可变现净值低于成本时，提取存货跌价准备。存货跌价准备通常按单个存货项目的成本高于其可变现净值的差额提取。对于数量繁多、单价较低的存货，按存货类别计提存货跌价准备；对在同一地区生产和销售的产品系列相关、具有相同或类似最终用途或目的，且难以与其他项目分开计量的存货，可合并计提存货跌价准备。</w:t>
      </w:r>
    </w:p>
    <w:p>
      <w:pPr>
        <w:pStyle w:val="11"/>
        <w:spacing w:before="40" w:beforeAutospacing="0" w:after="40" w:afterAutospacing="0"/>
        <w:ind w:firstLine="360"/>
        <w:rPr>
          <w:rFonts w:ascii="等线" w:hAnsi="等线" w:eastAsia="等线"/>
          <w:sz w:val="21"/>
          <w:szCs w:val="21"/>
        </w:rPr>
      </w:pPr>
      <w:r>
        <w:rPr>
          <w:rFonts w:hint="eastAsia"/>
          <w:sz w:val="18"/>
          <w:szCs w:val="18"/>
        </w:rPr>
        <w:t>计提存货跌价准备后，如果以前减记存货价值的影响因素已经消失，导致存货的可变现净值高于其账面价值的，在原已计提的存货跌价准备金额内予以转回，转回的金额计入当期损益。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5、存货的盘存制度</w:t>
      </w:r>
    </w:p>
    <w:p>
      <w:pPr>
        <w:pStyle w:val="11"/>
        <w:spacing w:before="40" w:beforeAutospacing="0" w:after="40" w:afterAutospacing="0"/>
        <w:ind w:firstLine="360"/>
        <w:rPr>
          <w:rFonts w:ascii="等线" w:hAnsi="等线" w:eastAsia="等线"/>
          <w:sz w:val="21"/>
          <w:szCs w:val="21"/>
        </w:rPr>
      </w:pPr>
      <w:r>
        <w:rPr>
          <w:rFonts w:hint="eastAsia"/>
          <w:sz w:val="18"/>
          <w:szCs w:val="18"/>
        </w:rPr>
        <w:t>采用定期盘存制。</w:t>
      </w:r>
    </w:p>
    <w:p>
      <w:pPr>
        <w:pStyle w:val="11"/>
        <w:spacing w:before="40" w:beforeAutospacing="0" w:after="40" w:afterAutospacing="0"/>
        <w:ind w:firstLine="360"/>
        <w:rPr>
          <w:rFonts w:ascii="等线" w:hAnsi="等线" w:eastAsia="等线"/>
          <w:sz w:val="21"/>
          <w:szCs w:val="21"/>
        </w:rPr>
      </w:pPr>
      <w:r>
        <w:rPr>
          <w:rFonts w:hint="eastAsia"/>
          <w:sz w:val="18"/>
          <w:szCs w:val="18"/>
        </w:rPr>
        <w:t>6、低值易耗品和包装物的摊销方法</w:t>
      </w:r>
    </w:p>
    <w:p>
      <w:pPr>
        <w:pStyle w:val="11"/>
        <w:spacing w:before="40" w:beforeAutospacing="0" w:after="40" w:afterAutospacing="0"/>
        <w:ind w:firstLine="360"/>
        <w:rPr>
          <w:rFonts w:ascii="等线" w:hAnsi="等线" w:eastAsia="等线"/>
          <w:sz w:val="21"/>
          <w:szCs w:val="21"/>
        </w:rPr>
      </w:pPr>
      <w:r>
        <w:rPr>
          <w:rFonts w:hint="eastAsia"/>
          <w:sz w:val="18"/>
          <w:szCs w:val="18"/>
        </w:rPr>
        <w:t>低值易耗品和包装物于领用时按一次摊销法摊销。</w:t>
      </w:r>
    </w:p>
    <w:p>
      <w:pPr>
        <w:pStyle w:val="4"/>
        <w:spacing w:line="280" w:lineRule="exact"/>
        <w:jc w:val="left"/>
        <w:rPr>
          <w:rFonts w:ascii="宋体" w:hAnsi="宋体" w:cs="宋体"/>
          <w:b/>
          <w:bCs/>
        </w:rPr>
      </w:pPr>
      <w:bookmarkStart w:id="178" w:name="_Toc989061"/>
      <w:r>
        <w:rPr>
          <w:rFonts w:ascii="宋体" w:hAnsi="宋体" w:cs="宋体"/>
          <w:b/>
          <w:bCs/>
        </w:rPr>
        <w:t>14、合同资产</w:t>
      </w:r>
      <w:bookmarkEnd w:id="178"/>
    </w:p>
    <w:p>
      <w:pPr>
        <w:pStyle w:val="11"/>
        <w:spacing w:before="40" w:beforeAutospacing="0" w:after="40" w:afterAutospacing="0"/>
        <w:ind w:firstLine="360"/>
        <w:rPr>
          <w:rFonts w:ascii="等线" w:hAnsi="等线" w:eastAsia="等线"/>
          <w:sz w:val="21"/>
          <w:szCs w:val="21"/>
        </w:rPr>
      </w:pPr>
      <w:r>
        <w:rPr>
          <w:rFonts w:hint="eastAsia"/>
          <w:sz w:val="18"/>
          <w:szCs w:val="18"/>
        </w:rPr>
        <w:t>本公司将客户尚未支付合同对价，但本公司已经依据合同履行了履约义务，且不属于无条件（即仅取决于时间流逝）向客户收款的权利，在资产负债表中列示为合同资产。同一合同下的合同资产和合同负债以净额列示，不同合同下的合同资产和合同负债不予抵销。</w:t>
      </w:r>
    </w:p>
    <w:p>
      <w:pPr>
        <w:pStyle w:val="11"/>
        <w:spacing w:before="40" w:beforeAutospacing="0" w:after="40" w:afterAutospacing="0"/>
        <w:ind w:firstLine="360"/>
        <w:rPr>
          <w:rFonts w:ascii="等线" w:hAnsi="等线" w:eastAsia="等线"/>
          <w:sz w:val="21"/>
          <w:szCs w:val="21"/>
        </w:rPr>
      </w:pPr>
      <w:r>
        <w:rPr>
          <w:rFonts w:hint="eastAsia" w:ascii="等线" w:hAnsi="等线" w:eastAsia="等线"/>
          <w:sz w:val="21"/>
          <w:szCs w:val="21"/>
        </w:rPr>
        <w:t> </w:t>
      </w:r>
      <w:r>
        <w:rPr>
          <w:rFonts w:hint="eastAsia"/>
          <w:sz w:val="18"/>
          <w:szCs w:val="18"/>
        </w:rPr>
        <w:t>本公司对合同资产的预期信用损失的确定方法及会计处理方法详见本附注五、9、金融工具减值</w:t>
      </w:r>
    </w:p>
    <w:p>
      <w:pPr>
        <w:pStyle w:val="4"/>
        <w:spacing w:line="280" w:lineRule="exact"/>
        <w:jc w:val="left"/>
        <w:rPr>
          <w:rFonts w:ascii="宋体" w:hAnsi="宋体" w:cs="宋体"/>
          <w:b/>
          <w:bCs/>
        </w:rPr>
      </w:pPr>
      <w:bookmarkStart w:id="179" w:name="_Toc989062"/>
      <w:r>
        <w:rPr>
          <w:rFonts w:ascii="宋体" w:hAnsi="宋体" w:cs="宋体"/>
          <w:b/>
          <w:bCs/>
        </w:rPr>
        <w:t>15、合同成本</w:t>
      </w:r>
      <w:bookmarkEnd w:id="179"/>
    </w:p>
    <w:p>
      <w:pPr>
        <w:pStyle w:val="11"/>
        <w:spacing w:before="40" w:beforeAutospacing="0" w:after="40" w:afterAutospacing="0"/>
        <w:ind w:firstLine="360"/>
        <w:rPr>
          <w:rFonts w:ascii="等线" w:hAnsi="等线" w:eastAsia="等线"/>
          <w:sz w:val="21"/>
          <w:szCs w:val="21"/>
        </w:rPr>
      </w:pPr>
      <w:r>
        <w:rPr>
          <w:rFonts w:hint="eastAsia"/>
          <w:sz w:val="18"/>
          <w:szCs w:val="18"/>
        </w:rPr>
        <w:t>合同成本分为合同履约成本与合同取得成本。</w:t>
      </w:r>
    </w:p>
    <w:p>
      <w:pPr>
        <w:pStyle w:val="11"/>
        <w:spacing w:before="40" w:beforeAutospacing="0" w:after="40" w:afterAutospacing="0"/>
        <w:ind w:firstLine="360"/>
        <w:rPr>
          <w:rFonts w:ascii="等线" w:hAnsi="等线" w:eastAsia="等线"/>
          <w:sz w:val="21"/>
          <w:szCs w:val="21"/>
        </w:rPr>
      </w:pPr>
      <w:r>
        <w:rPr>
          <w:rFonts w:hint="eastAsia"/>
          <w:sz w:val="18"/>
          <w:szCs w:val="18"/>
        </w:rPr>
        <w:t>1、履行合同发生的成本</w:t>
      </w:r>
    </w:p>
    <w:p>
      <w:pPr>
        <w:pStyle w:val="11"/>
        <w:spacing w:before="40" w:beforeAutospacing="0" w:after="40" w:afterAutospacing="0"/>
        <w:ind w:firstLine="360"/>
        <w:rPr>
          <w:rFonts w:ascii="等线" w:hAnsi="等线" w:eastAsia="等线"/>
          <w:sz w:val="21"/>
          <w:szCs w:val="21"/>
        </w:rPr>
      </w:pPr>
      <w:r>
        <w:rPr>
          <w:rFonts w:hint="eastAsia"/>
          <w:sz w:val="18"/>
          <w:szCs w:val="18"/>
        </w:rPr>
        <w:t>本公司为履行合同而发生的成本，在满足下列条件时作为合同履约成本确认为一项资产：</w:t>
      </w:r>
    </w:p>
    <w:p>
      <w:pPr>
        <w:pStyle w:val="11"/>
        <w:spacing w:before="40" w:beforeAutospacing="0" w:after="40" w:afterAutospacing="0"/>
        <w:ind w:firstLine="360"/>
        <w:rPr>
          <w:rFonts w:ascii="等线" w:hAnsi="等线" w:eastAsia="等线"/>
          <w:sz w:val="21"/>
          <w:szCs w:val="21"/>
        </w:rPr>
      </w:pPr>
      <w:r>
        <w:rPr>
          <w:rFonts w:hint="eastAsia"/>
          <w:sz w:val="18"/>
          <w:szCs w:val="18"/>
        </w:rPr>
        <w:t>①该成本与一份当前或预期取得的合同直接相关。</w:t>
      </w:r>
    </w:p>
    <w:p>
      <w:pPr>
        <w:pStyle w:val="11"/>
        <w:spacing w:before="40" w:beforeAutospacing="0" w:after="40" w:afterAutospacing="0"/>
        <w:ind w:firstLine="360"/>
        <w:rPr>
          <w:rFonts w:ascii="等线" w:hAnsi="等线" w:eastAsia="等线"/>
          <w:sz w:val="21"/>
          <w:szCs w:val="21"/>
        </w:rPr>
      </w:pPr>
      <w:r>
        <w:rPr>
          <w:rFonts w:hint="eastAsia"/>
          <w:sz w:val="18"/>
          <w:szCs w:val="18"/>
        </w:rPr>
        <w:t>②该成本增加了本公司未来用于履行履约义务的资源。</w:t>
      </w:r>
    </w:p>
    <w:p>
      <w:pPr>
        <w:pStyle w:val="11"/>
        <w:spacing w:before="40" w:beforeAutospacing="0" w:after="40" w:afterAutospacing="0"/>
        <w:ind w:firstLine="360"/>
        <w:rPr>
          <w:rFonts w:ascii="等线" w:hAnsi="等线" w:eastAsia="等线"/>
          <w:sz w:val="21"/>
          <w:szCs w:val="21"/>
        </w:rPr>
      </w:pPr>
      <w:r>
        <w:rPr>
          <w:rFonts w:hint="eastAsia"/>
          <w:sz w:val="18"/>
          <w:szCs w:val="18"/>
        </w:rPr>
        <w:t>③该成本预期能够收回。</w:t>
      </w:r>
    </w:p>
    <w:p>
      <w:pPr>
        <w:pStyle w:val="11"/>
        <w:spacing w:before="40" w:beforeAutospacing="0" w:after="40" w:afterAutospacing="0"/>
        <w:ind w:firstLine="360"/>
        <w:rPr>
          <w:rFonts w:ascii="等线" w:hAnsi="等线" w:eastAsia="等线"/>
          <w:sz w:val="21"/>
          <w:szCs w:val="21"/>
        </w:rPr>
      </w:pPr>
      <w:r>
        <w:rPr>
          <w:rFonts w:hint="eastAsia"/>
          <w:sz w:val="18"/>
          <w:szCs w:val="18"/>
        </w:rPr>
        <w:t>2、取得合同发生的增量成本</w:t>
      </w:r>
    </w:p>
    <w:p>
      <w:pPr>
        <w:pStyle w:val="11"/>
        <w:spacing w:before="40" w:beforeAutospacing="0" w:after="40" w:afterAutospacing="0"/>
        <w:ind w:firstLine="360"/>
        <w:rPr>
          <w:rFonts w:ascii="等线" w:hAnsi="等线" w:eastAsia="等线"/>
          <w:sz w:val="21"/>
          <w:szCs w:val="21"/>
        </w:rPr>
      </w:pPr>
      <w:r>
        <w:rPr>
          <w:rFonts w:hint="eastAsia"/>
          <w:sz w:val="18"/>
          <w:szCs w:val="18"/>
        </w:rPr>
        <w:t>本公司为取得合同发生的增量成本预期能够收回的，作为合同取得成本确认为一项资产。与合同成本有关的资产采用与该资产相关的商品或服务收入确认相同的基础进行摊销；但是对于合同取得成本摊销期限未超过一年的，本公司将其在发生时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3、合同成本摊销和减值</w:t>
      </w:r>
    </w:p>
    <w:p>
      <w:pPr>
        <w:pStyle w:val="11"/>
        <w:spacing w:before="40" w:beforeAutospacing="0" w:after="40" w:afterAutospacing="0"/>
        <w:ind w:firstLine="360"/>
        <w:rPr>
          <w:rFonts w:ascii="等线" w:hAnsi="等线" w:eastAsia="等线"/>
          <w:sz w:val="21"/>
          <w:szCs w:val="21"/>
        </w:rPr>
      </w:pPr>
      <w:r>
        <w:rPr>
          <w:rFonts w:hint="eastAsia"/>
          <w:sz w:val="18"/>
          <w:szCs w:val="18"/>
        </w:rPr>
        <w:t>合同取得成本确认的资产和合同履约成本确认的资产(以下简称“与合同成本有关的资产”)采用与该资产相关的商品或服务收入确认相同的基础进行摊销，计入当期损益。合同取得成本确认的资产摊销期限不超过一年的，在发生时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与合同成本有关的资产，其账面价值高于下列两项的差额的，本公司将对于超出部分计提减值准备，并确认为资产减值损失：</w:t>
      </w:r>
    </w:p>
    <w:p>
      <w:pPr>
        <w:pStyle w:val="11"/>
        <w:spacing w:before="40" w:beforeAutospacing="0" w:after="40" w:afterAutospacing="0"/>
        <w:ind w:firstLine="360"/>
        <w:rPr>
          <w:rFonts w:ascii="等线" w:hAnsi="等线" w:eastAsia="等线"/>
          <w:sz w:val="21"/>
          <w:szCs w:val="21"/>
        </w:rPr>
      </w:pPr>
      <w:r>
        <w:rPr>
          <w:rFonts w:hint="eastAsia"/>
          <w:sz w:val="18"/>
          <w:szCs w:val="18"/>
        </w:rPr>
        <w:t>①因转让与该资产相关的商品或服务预期能够取得的剩余对价；</w:t>
      </w:r>
    </w:p>
    <w:p>
      <w:pPr>
        <w:pStyle w:val="11"/>
        <w:spacing w:before="40" w:beforeAutospacing="0" w:after="40" w:afterAutospacing="0"/>
        <w:ind w:firstLine="360"/>
        <w:rPr>
          <w:rFonts w:ascii="等线" w:hAnsi="等线" w:eastAsia="等线"/>
          <w:sz w:val="21"/>
          <w:szCs w:val="21"/>
        </w:rPr>
      </w:pPr>
      <w:r>
        <w:rPr>
          <w:rFonts w:hint="eastAsia"/>
          <w:sz w:val="18"/>
          <w:szCs w:val="18"/>
        </w:rPr>
        <w:t>②为转让该相关商品或服务估计将要发生的成本。</w:t>
      </w:r>
    </w:p>
    <w:p>
      <w:pPr>
        <w:pStyle w:val="11"/>
        <w:spacing w:before="40" w:beforeAutospacing="0" w:after="40" w:afterAutospacing="0"/>
        <w:ind w:firstLine="360"/>
        <w:rPr>
          <w:rFonts w:ascii="等线" w:hAnsi="等线" w:eastAsia="等线"/>
          <w:sz w:val="21"/>
          <w:szCs w:val="21"/>
        </w:rPr>
      </w:pPr>
      <w:r>
        <w:rPr>
          <w:rFonts w:hint="eastAsia"/>
          <w:sz w:val="18"/>
          <w:szCs w:val="18"/>
        </w:rPr>
        <w:t>上述资产减值准备后续发生转回的，转回后的资产账面价值不超过假定不计提减值准备情况下该资产在转回日的账面价值。</w:t>
      </w:r>
    </w:p>
    <w:p>
      <w:pPr>
        <w:pStyle w:val="4"/>
        <w:spacing w:line="280" w:lineRule="exact"/>
        <w:jc w:val="left"/>
        <w:rPr>
          <w:rFonts w:ascii="宋体" w:hAnsi="宋体" w:cs="宋体"/>
          <w:b/>
          <w:bCs/>
        </w:rPr>
      </w:pPr>
      <w:bookmarkStart w:id="180" w:name="_Toc989063"/>
      <w:r>
        <w:rPr>
          <w:rFonts w:ascii="宋体" w:hAnsi="宋体" w:cs="宋体"/>
          <w:b/>
          <w:bCs/>
        </w:rPr>
        <w:t>16、持有待售资产</w:t>
      </w:r>
      <w:bookmarkEnd w:id="180"/>
    </w:p>
    <w:p>
      <w:pPr>
        <w:pStyle w:val="11"/>
        <w:spacing w:before="40" w:beforeAutospacing="0" w:after="40" w:afterAutospacing="0"/>
        <w:ind w:firstLine="360"/>
        <w:rPr>
          <w:rFonts w:ascii="等线" w:hAnsi="等线" w:eastAsia="等线"/>
          <w:sz w:val="21"/>
          <w:szCs w:val="21"/>
        </w:rPr>
      </w:pPr>
      <w:r>
        <w:rPr>
          <w:rFonts w:hint="eastAsia"/>
          <w:sz w:val="18"/>
          <w:szCs w:val="18"/>
        </w:rPr>
        <w:t>本公司若主要通过出售（包括具有商业实质的非货币性资产交换，下同）而非持续使用一项非流动资产或处置组收回其账面价值的，则将其划分为持有待售类别。具体标准为同时满足以下条件：某项非流动资产或处置组根据类似交易中出售此类资产或处置组的惯例，在当前状况下即可立即出售；本公司已经就出售计划作出决议且获得确定的购买承诺；预计出售将在一年内完成。其中，处置组是指在一项交易中作为整体通过出售或其他方式一并处置的一组资产，以及在该交易中转让的与这些资产直接相关的负债。处置组所属的资产组或资产组组合按照《企业会计准则第8号——资产减值》分摊了企业合并中取得的商誉的，该处置组应当包含分摊至处置组的商誉。</w:t>
      </w:r>
    </w:p>
    <w:p>
      <w:pPr>
        <w:pStyle w:val="11"/>
        <w:spacing w:before="40" w:beforeAutospacing="0" w:after="40" w:afterAutospacing="0"/>
        <w:ind w:firstLine="360"/>
        <w:rPr>
          <w:rFonts w:ascii="等线" w:hAnsi="等线" w:eastAsia="等线"/>
          <w:sz w:val="21"/>
          <w:szCs w:val="21"/>
        </w:rPr>
      </w:pPr>
      <w:r>
        <w:rPr>
          <w:rFonts w:hint="eastAsia"/>
          <w:sz w:val="18"/>
          <w:szCs w:val="18"/>
        </w:rPr>
        <w:t>本公司初始计量或在资产负债表日重新计量划分为持有待售的非流动资产和处置组时，其账面价值高于公允价值减去出售费用后的净额的，将账面价值减记至公允价值减去出售费用后的净额，减记的金额确认为资产减值损失，计入当期损益，同时计提持有待售资产减值准备。对于处置组，所确认的资产减值损失先抵减处置组中商誉的账面价值，再按比例抵减该处置组内适用《企业会计准则第42号——持有待售的非流动资产、处置组和终止经营》（以下简称“持有待售准则”）的计量规定的各项非流动资产的账面价值。后续资产负债表日持有待售的处置组公允价值减去出售费用后的净额增加的，以前减记的金额应当予以恢复，并在划分为持有待售类别后适用持有待售准则计量规定的非流动资产确认的资产减值损失金额内转回，转回金额计入当期损益，并根据处置组中除商誉外适用持有待售准则计量规定的各项非流动资产账面价值所占比重按比例增加其账面价值；已抵减的商誉账面价值，以及适用持有待售准则计量规定的非流动资产在划分为持有待售类别前确认的资产减值损失不得转回。</w:t>
      </w:r>
    </w:p>
    <w:p>
      <w:pPr>
        <w:pStyle w:val="11"/>
        <w:spacing w:before="40" w:beforeAutospacing="0" w:after="40" w:afterAutospacing="0"/>
        <w:ind w:firstLine="360"/>
        <w:rPr>
          <w:rFonts w:ascii="等线" w:hAnsi="等线" w:eastAsia="等线"/>
          <w:sz w:val="21"/>
          <w:szCs w:val="21"/>
        </w:rPr>
      </w:pPr>
      <w:r>
        <w:rPr>
          <w:rFonts w:hint="eastAsia"/>
          <w:sz w:val="18"/>
          <w:szCs w:val="18"/>
        </w:rPr>
        <w:t>持有待售的非流动资产或处置组中的非流动资产不计提折旧或摊销，持有待售的处置组中负债的利息和其他费用继续予以确认。</w:t>
      </w:r>
    </w:p>
    <w:p>
      <w:pPr>
        <w:pStyle w:val="11"/>
        <w:spacing w:before="40" w:beforeAutospacing="0" w:after="40" w:afterAutospacing="0"/>
        <w:ind w:firstLine="360"/>
        <w:rPr>
          <w:rFonts w:ascii="等线" w:hAnsi="等线" w:eastAsia="等线"/>
          <w:sz w:val="21"/>
          <w:szCs w:val="21"/>
        </w:rPr>
      </w:pPr>
      <w:r>
        <w:rPr>
          <w:rFonts w:hint="eastAsia"/>
          <w:sz w:val="18"/>
          <w:szCs w:val="18"/>
        </w:rPr>
        <w:t>非流动资产或处置组不再满足持有待售类别的划分条件时，本公司不再将其继续划分为持有待售类别或将非流动资产从持有待售的处置组中移除，并按照以下两者孰低计量：（1）划分为持有待售类别前的账面价值，按照假定不划分为持有待售类别情况下本应确认的折旧、摊销或减值等进行调整后的金额；（2）可收回金额。</w:t>
      </w:r>
    </w:p>
    <w:p>
      <w:pPr>
        <w:pStyle w:val="4"/>
        <w:spacing w:line="280" w:lineRule="exact"/>
        <w:jc w:val="left"/>
        <w:rPr>
          <w:rFonts w:ascii="宋体" w:hAnsi="宋体" w:cs="宋体"/>
          <w:b/>
          <w:bCs/>
        </w:rPr>
      </w:pPr>
      <w:bookmarkStart w:id="181" w:name="_Toc989064"/>
      <w:r>
        <w:rPr>
          <w:rFonts w:ascii="宋体" w:hAnsi="宋体" w:cs="宋体"/>
          <w:b/>
          <w:bCs/>
        </w:rPr>
        <w:t>17、长期股权投资</w:t>
      </w:r>
      <w:bookmarkEnd w:id="181"/>
    </w:p>
    <w:p>
      <w:pPr>
        <w:pStyle w:val="11"/>
        <w:spacing w:before="40" w:beforeAutospacing="0" w:after="40" w:afterAutospacing="0"/>
        <w:ind w:firstLine="360"/>
        <w:rPr>
          <w:rFonts w:ascii="等线" w:hAnsi="等线" w:eastAsia="等线"/>
          <w:sz w:val="21"/>
          <w:szCs w:val="21"/>
        </w:rPr>
      </w:pPr>
      <w:r>
        <w:rPr>
          <w:rFonts w:hint="eastAsia"/>
          <w:sz w:val="18"/>
          <w:szCs w:val="18"/>
        </w:rPr>
        <w:t>本部分所指的长期股权投资是指本公司对被投资单位具有控制、共同控制或重大影响的长期股权投资。本公司对被投资单位不具有控制、共同控制或重大影响的长期股权投资，作为金融资产核算，其会计政策详见本附注五、9“金融工具”。</w:t>
      </w:r>
    </w:p>
    <w:p>
      <w:pPr>
        <w:pStyle w:val="11"/>
        <w:spacing w:before="40" w:beforeAutospacing="0" w:after="40" w:afterAutospacing="0"/>
        <w:ind w:firstLine="360"/>
        <w:rPr>
          <w:rFonts w:ascii="等线" w:hAnsi="等线" w:eastAsia="等线"/>
          <w:sz w:val="21"/>
          <w:szCs w:val="21"/>
        </w:rPr>
      </w:pPr>
      <w:r>
        <w:rPr>
          <w:rFonts w:hint="eastAsia"/>
          <w:sz w:val="18"/>
          <w:szCs w:val="18"/>
        </w:rPr>
        <w:t>共同控制，是指本公司按照相关约定对某项安排所共有的控制，并且该安排的相关活动必须经过分享控制权的参与方一致同意后才能决策。重大影响，是指本公司对被投资单位的财务和经营政策有参与决策的权力，但并不能够控制或者与其他方一起共同控制这些政策的制定。</w:t>
      </w:r>
    </w:p>
    <w:p>
      <w:pPr>
        <w:pStyle w:val="11"/>
        <w:spacing w:before="40" w:beforeAutospacing="0" w:after="40" w:afterAutospacing="0"/>
        <w:ind w:firstLine="360"/>
        <w:rPr>
          <w:rFonts w:ascii="等线" w:hAnsi="等线" w:eastAsia="等线"/>
          <w:sz w:val="21"/>
          <w:szCs w:val="21"/>
        </w:rPr>
      </w:pPr>
      <w:r>
        <w:rPr>
          <w:rFonts w:hint="eastAsia"/>
          <w:sz w:val="18"/>
          <w:szCs w:val="18"/>
        </w:rPr>
        <w:t>1、投资成本的确定</w:t>
      </w:r>
    </w:p>
    <w:p>
      <w:pPr>
        <w:pStyle w:val="11"/>
        <w:spacing w:before="40" w:beforeAutospacing="0" w:after="40" w:afterAutospacing="0"/>
        <w:ind w:firstLine="360"/>
        <w:rPr>
          <w:rFonts w:ascii="等线" w:hAnsi="等线" w:eastAsia="等线"/>
          <w:sz w:val="21"/>
          <w:szCs w:val="21"/>
        </w:rPr>
      </w:pPr>
      <w:r>
        <w:rPr>
          <w:rFonts w:hint="eastAsia"/>
          <w:sz w:val="18"/>
          <w:szCs w:val="18"/>
        </w:rPr>
        <w:t>对于同一控制下的企业合并取得的长期股权投资，在合并日按照被合并方股东权益在最终控制方合并财务报表中的账面价值的份额作为长期股权投资的初始投资成本。长期股权投资初始投资成本与支付的现金、转让的非现金资产以及所承担债务账面价值之间的差额，调整资本公积；资本公积不足冲减的，调整留存收益。以发行权益性证券作为合并对价的，在合并日按照被合并方股东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通过多次交易分步取得同一控制下被合并方的股权，最终形成同一控制下企业合并的，应分析是否属于“一揽子交易”进行处理：属于“一揽子交易”的，将各项交易作为一项取得控制权的交易进行会计处理。不属于“一揽子交易”的，在合并日按照应享有被合并方股东权益在最终控制方合并财务报表中的账面价值的份额作为长期股权投资的初始投资成本，长期股权投资初始投资成本与达到合并前的长期股权投资账面价值加上合并日进一步取得股份新支付对价的账面价值之和的差额，调整资本公积；资本公积不足冲减的，调整留存收益。合并日之前持有的股权投资因采用权益法核算或为可供出售金融资产而确认的其他综合收益，暂不进行会计处理。</w:t>
      </w:r>
    </w:p>
    <w:p>
      <w:pPr>
        <w:pStyle w:val="11"/>
        <w:spacing w:before="40" w:beforeAutospacing="0" w:after="40" w:afterAutospacing="0"/>
        <w:ind w:firstLine="360"/>
        <w:rPr>
          <w:rFonts w:ascii="等线" w:hAnsi="等线" w:eastAsia="等线"/>
          <w:sz w:val="21"/>
          <w:szCs w:val="21"/>
        </w:rPr>
      </w:pPr>
      <w:r>
        <w:rPr>
          <w:rFonts w:hint="eastAsia"/>
          <w:sz w:val="18"/>
          <w:szCs w:val="18"/>
        </w:rPr>
        <w:t>对于非同一控制下的企业合并取得的长期股权投资，在购买日按照合并成本作为长期股权投资的初始投资成本，合并成本包括包括购买方付出的资产、发生或承担的负债、发行的权益性证券的公允价值之和。通过多次交易分步取得被购买方的股权，最终形成非同一控制下的企业合并的，应分析是否属于“一揽子交易”进行处理：属于“一揽子交易”的，将各项交易作为一项取得控制权的交易进行会计处理。不属于“一揽子交易”的，按照原持有被购买方的股权投资账面价值加上新增投资成本之和，作为改按成本法核算的长期股权投资的初始投资成本。原持有的股权采用权益法核算的，相关其他综合收益暂不进行会计处理。原持有股权投资为可供出售金融资产的，其公允价值与账面价值之间的差额，以及原计入其他综合收益的累计公允价值变动转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合并方或购买方为企业合并发生的审计、法律服务、评估咨询等中介费用以及其他相关管理费用，于发生时计入当期损益。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除企业合并形成的长期股权投资外的其他股权投资，按成本进行初始计量，该成本视长期股权投资取得方式的不同，分别按照本公司实际支付的现金购买价款、本公司发行的权益性证券的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对于因追加投资能够对被投资单位实施重大影响或实施共同控制但不构成控制的，长期股权投资成本为按照《企业会计准则第22号——金融工具确认和计量》确定的原持有股权投资的公允价值加上新增投资成本之和。</w:t>
      </w:r>
    </w:p>
    <w:p>
      <w:pPr>
        <w:pStyle w:val="11"/>
        <w:spacing w:before="40" w:beforeAutospacing="0" w:after="40" w:afterAutospacing="0"/>
        <w:ind w:firstLine="360"/>
        <w:rPr>
          <w:rFonts w:ascii="等线" w:hAnsi="等线" w:eastAsia="等线"/>
          <w:sz w:val="21"/>
          <w:szCs w:val="21"/>
        </w:rPr>
      </w:pPr>
      <w:r>
        <w:rPr>
          <w:rFonts w:hint="eastAsia"/>
          <w:sz w:val="18"/>
          <w:szCs w:val="18"/>
        </w:rPr>
        <w:t>2、后续计量及损益确认方法</w:t>
      </w:r>
    </w:p>
    <w:p>
      <w:pPr>
        <w:pStyle w:val="11"/>
        <w:spacing w:before="40" w:beforeAutospacing="0" w:after="40" w:afterAutospacing="0"/>
        <w:ind w:firstLine="360"/>
        <w:rPr>
          <w:rFonts w:ascii="等线" w:hAnsi="等线" w:eastAsia="等线"/>
          <w:sz w:val="21"/>
          <w:szCs w:val="21"/>
        </w:rPr>
      </w:pPr>
      <w:r>
        <w:rPr>
          <w:rFonts w:hint="eastAsia"/>
          <w:sz w:val="18"/>
          <w:szCs w:val="18"/>
        </w:rPr>
        <w:t>对被投资单位具有共同控制（构成共同经营者除外）或重大影响的长期股权投资，采用权益法核算。此外，公司财务报表采用成本法核算能够对被投资单位实施控制的长期股权投资。</w:t>
      </w:r>
    </w:p>
    <w:p>
      <w:pPr>
        <w:pStyle w:val="11"/>
        <w:spacing w:before="40" w:beforeAutospacing="0" w:after="40" w:afterAutospacing="0"/>
        <w:ind w:firstLine="360"/>
        <w:rPr>
          <w:rFonts w:ascii="等线" w:hAnsi="等线" w:eastAsia="等线"/>
          <w:sz w:val="21"/>
          <w:szCs w:val="21"/>
        </w:rPr>
      </w:pPr>
      <w:r>
        <w:rPr>
          <w:rFonts w:hint="eastAsia"/>
          <w:sz w:val="18"/>
          <w:szCs w:val="18"/>
        </w:rPr>
        <w:t>①成本法核算的长期股权投资</w:t>
      </w:r>
    </w:p>
    <w:p>
      <w:pPr>
        <w:pStyle w:val="11"/>
        <w:spacing w:before="40" w:beforeAutospacing="0" w:after="40" w:afterAutospacing="0"/>
        <w:ind w:firstLine="360"/>
        <w:rPr>
          <w:rFonts w:ascii="等线" w:hAnsi="等线" w:eastAsia="等线"/>
          <w:sz w:val="21"/>
          <w:szCs w:val="21"/>
        </w:rPr>
      </w:pPr>
      <w:r>
        <w:rPr>
          <w:rFonts w:hint="eastAsia"/>
          <w:sz w:val="18"/>
          <w:szCs w:val="18"/>
        </w:rPr>
        <w:t>采用成本法核算时，长期股权投资按初始投资成本计价，追加或收回投资调整长期股权投资的成本。除取得投资时实际支付的价款或者对价中包含的已宣告但尚未发放的现金股利或者利润外，当期投资收益按照享有被投资单位宣告发放的现金股利或利润确认。</w:t>
      </w:r>
    </w:p>
    <w:p>
      <w:pPr>
        <w:pStyle w:val="11"/>
        <w:spacing w:before="40" w:beforeAutospacing="0" w:after="40" w:afterAutospacing="0"/>
        <w:ind w:firstLine="360"/>
        <w:rPr>
          <w:rFonts w:ascii="等线" w:hAnsi="等线" w:eastAsia="等线"/>
          <w:sz w:val="21"/>
          <w:szCs w:val="21"/>
        </w:rPr>
      </w:pPr>
      <w:r>
        <w:rPr>
          <w:rFonts w:hint="eastAsia"/>
          <w:sz w:val="18"/>
          <w:szCs w:val="18"/>
        </w:rPr>
        <w:t>②权益法核算的长期股权投资</w:t>
      </w:r>
    </w:p>
    <w:p>
      <w:pPr>
        <w:pStyle w:val="11"/>
        <w:spacing w:before="40" w:beforeAutospacing="0" w:after="40" w:afterAutospacing="0"/>
        <w:ind w:firstLine="360"/>
        <w:rPr>
          <w:rFonts w:ascii="等线" w:hAnsi="等线" w:eastAsia="等线"/>
          <w:sz w:val="21"/>
          <w:szCs w:val="21"/>
        </w:rPr>
      </w:pPr>
      <w:r>
        <w:rPr>
          <w:rFonts w:hint="eastAsia"/>
          <w:sz w:val="18"/>
          <w:szCs w:val="18"/>
        </w:rPr>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pPr>
        <w:pStyle w:val="11"/>
        <w:spacing w:before="40" w:beforeAutospacing="0" w:after="40" w:afterAutospacing="0"/>
        <w:ind w:firstLine="360"/>
        <w:rPr>
          <w:rFonts w:ascii="等线" w:hAnsi="等线" w:eastAsia="等线"/>
          <w:sz w:val="21"/>
          <w:szCs w:val="21"/>
        </w:rPr>
      </w:pPr>
      <w:r>
        <w:rPr>
          <w:rFonts w:hint="eastAsia"/>
          <w:sz w:val="18"/>
          <w:szCs w:val="18"/>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本公司不一致的，按照本公司的会计政策及会计期间对被投资单位的财务报表进行调整，并据以确认投资收益和其他综合收益。对于本公司与联营企业及合营企业之间发生的交易，投出或出售的资产不构成业务的，未实现内部交易损益按照享有的比例计算归属于本公司的部分予以抵销，在此基础上确认投资损益。但本公司与被投资单位发生的未实现内部交易损失，属于所转让资产减值损失的，不予以抵销。本公司向联营企业投出的资产构成业务的，投资方因此取得长期股权投资但未取得控制权的，以投出业务的公允价值作为新增长期股权投资的初始投资成本，初始投资成本与投出业务的账面价值之差，全额计入当期损益。本公司向联营企业出售的资产构成业务的，取得的对价与业务的账面价值之差，全额计入当期损益。本公司自联营企业购入的资产构成业务的，按《企业会计准则第20号——企业合并》的规定进行会计处理，全额确认与交易相关的利得或损失。</w:t>
      </w:r>
    </w:p>
    <w:p>
      <w:pPr>
        <w:pStyle w:val="11"/>
        <w:spacing w:before="40" w:beforeAutospacing="0" w:after="40" w:afterAutospacing="0"/>
        <w:ind w:firstLine="360"/>
        <w:rPr>
          <w:rFonts w:ascii="等线" w:hAnsi="等线" w:eastAsia="等线"/>
          <w:sz w:val="21"/>
          <w:szCs w:val="21"/>
        </w:rPr>
      </w:pPr>
      <w:r>
        <w:rPr>
          <w:rFonts w:hint="eastAsia"/>
          <w:sz w:val="18"/>
          <w:szCs w:val="18"/>
        </w:rPr>
        <w:t>在确认应分担被投资单位发生的净亏损时，以长期股权投资的账面价值和其他实质上构成对被投资单位净投资的长期权益减记至零为限。此外，如本公司对被投资单位负有承担额外损失的义务，则按预计承担的义务确认预计负债，计入当期投资损失。被投资单位以后期间实现净利润的，本公司在收益分享额弥补未确认的亏损分担额后，恢复确认收益分享额。</w:t>
      </w:r>
    </w:p>
    <w:p>
      <w:pPr>
        <w:pStyle w:val="11"/>
        <w:spacing w:before="40" w:beforeAutospacing="0" w:after="40" w:afterAutospacing="0"/>
        <w:ind w:firstLine="360"/>
        <w:rPr>
          <w:rFonts w:ascii="等线" w:hAnsi="等线" w:eastAsia="等线"/>
          <w:sz w:val="21"/>
          <w:szCs w:val="21"/>
        </w:rPr>
      </w:pPr>
      <w:r>
        <w:rPr>
          <w:rFonts w:hint="eastAsia"/>
          <w:sz w:val="18"/>
          <w:szCs w:val="18"/>
        </w:rPr>
        <w:t>③收购少数股权</w:t>
      </w:r>
    </w:p>
    <w:p>
      <w:pPr>
        <w:pStyle w:val="11"/>
        <w:spacing w:before="40" w:beforeAutospacing="0" w:after="40" w:afterAutospacing="0"/>
        <w:ind w:firstLine="360"/>
        <w:rPr>
          <w:rFonts w:ascii="等线" w:hAnsi="等线" w:eastAsia="等线"/>
          <w:sz w:val="21"/>
          <w:szCs w:val="21"/>
        </w:rPr>
      </w:pPr>
      <w:r>
        <w:rPr>
          <w:rFonts w:hint="eastAsia"/>
          <w:sz w:val="18"/>
          <w:szCs w:val="18"/>
        </w:rPr>
        <w:t>在编制合并财务报表时，因购买少数股权新增的长期股权投资与按照新增持股比例计算应享有子公司自购买日（或合并日）开始持续计算的净资产份额之间的差额，调整资本公积，资本公积不足冲减的，调整留存收益。</w:t>
      </w:r>
    </w:p>
    <w:p>
      <w:pPr>
        <w:pStyle w:val="11"/>
        <w:spacing w:before="40" w:beforeAutospacing="0" w:after="40" w:afterAutospacing="0"/>
        <w:ind w:firstLine="360"/>
        <w:rPr>
          <w:rFonts w:ascii="等线" w:hAnsi="等线" w:eastAsia="等线"/>
          <w:sz w:val="21"/>
          <w:szCs w:val="21"/>
        </w:rPr>
      </w:pPr>
      <w:r>
        <w:rPr>
          <w:rFonts w:hint="eastAsia"/>
          <w:sz w:val="18"/>
          <w:szCs w:val="18"/>
        </w:rPr>
        <w:t>④处置长期股权投资</w:t>
      </w:r>
    </w:p>
    <w:p>
      <w:pPr>
        <w:pStyle w:val="11"/>
        <w:spacing w:before="40" w:beforeAutospacing="0" w:after="40" w:afterAutospacing="0"/>
        <w:ind w:firstLine="360"/>
        <w:rPr>
          <w:rFonts w:ascii="等线" w:hAnsi="等线" w:eastAsia="等线"/>
          <w:sz w:val="21"/>
          <w:szCs w:val="21"/>
        </w:rPr>
      </w:pPr>
      <w:r>
        <w:rPr>
          <w:rFonts w:hint="eastAsia"/>
          <w:sz w:val="18"/>
          <w:szCs w:val="18"/>
        </w:rPr>
        <w:t>在合并财务报表中，母公司在不丧失控制权的情况下部分处置对子公司的长期股权投资，处置价款与处置长期股权投资相对应享有子公司净资产的差额计入股东权益；母公司部分处置对子公司的长期股权投资导致丧失对子公司控制权的，按本附注五、6、“合并财务报表的编制方法”中所述的相关会计政策处理。</w:t>
      </w:r>
    </w:p>
    <w:p>
      <w:pPr>
        <w:pStyle w:val="11"/>
        <w:spacing w:before="40" w:beforeAutospacing="0" w:after="40" w:afterAutospacing="0"/>
        <w:ind w:firstLine="360"/>
        <w:rPr>
          <w:rFonts w:ascii="等线" w:hAnsi="等线" w:eastAsia="等线"/>
          <w:sz w:val="21"/>
          <w:szCs w:val="21"/>
        </w:rPr>
      </w:pPr>
      <w:r>
        <w:rPr>
          <w:rFonts w:hint="eastAsia"/>
          <w:sz w:val="18"/>
          <w:szCs w:val="18"/>
        </w:rPr>
        <w:t>其他情形下的长期股权投资处置，对于处置的股权，其账面价值与实际取得价款的差额，计入当期损益。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采用权益法核算的长期股权投资，处置后的剩余股权仍采用权益法核算的，在处置时将原计入股东权益的其他综合收益部分按相应的比例采用与被投资单位直接处置相关资产或负债相同的基础进行会计处理。因被投资方除净损益、其他综合收益和利润分配以外的其他所有者权益变动而确认的所有者权益，按比例结转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变动按比例结转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本公司因处置部分股权投资丧失了对被投资单位的控制的，在编制个别财务报表时，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金融工具确认和计量准则的有关规定进行会计处理，其在丧失控制之日的公允价值与账面价值之间的差额计入当期损益。对于本公司取得对被投资单位的控制之前，因采用权益法核算或金融工具确认和计量准则核算而确认的其他综合收益，在丧失对被投资单位控制时采用与被投资单位直接处置相关资产或负债相同的基础进行会计处理，因采用权益法核算而确认的被投资单位净资产中除净损益、其他综合收益和利润分配以外的其他所有者权益变动在丧失对被投资单位控制时结转入当期损益。其中，处置后的剩余股权采用权益法核算的，其他综合收益和其他所有者权益按比例结转；处置后的剩余股权改按金融工具确认和计量准则进行会计处理的，其他综合收益和其他所有者权益全部结转。</w:t>
      </w:r>
    </w:p>
    <w:p>
      <w:pPr>
        <w:pStyle w:val="11"/>
        <w:spacing w:before="40" w:beforeAutospacing="0" w:after="40" w:afterAutospacing="0"/>
        <w:ind w:firstLine="360"/>
        <w:rPr>
          <w:rFonts w:ascii="等线" w:hAnsi="等线" w:eastAsia="等线"/>
          <w:sz w:val="21"/>
          <w:szCs w:val="21"/>
        </w:rPr>
      </w:pPr>
      <w:r>
        <w:rPr>
          <w:rFonts w:hint="eastAsia"/>
          <w:sz w:val="18"/>
          <w:szCs w:val="18"/>
        </w:rPr>
        <w:t>本公司因处置部分股权投资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时全部转入当期投资收益。</w:t>
      </w:r>
    </w:p>
    <w:p>
      <w:pPr>
        <w:pStyle w:val="11"/>
        <w:spacing w:before="40" w:beforeAutospacing="0" w:after="40" w:afterAutospacing="0"/>
        <w:ind w:firstLine="360"/>
        <w:rPr>
          <w:rFonts w:ascii="等线" w:hAnsi="等线" w:eastAsia="等线"/>
          <w:sz w:val="21"/>
          <w:szCs w:val="21"/>
        </w:rPr>
      </w:pPr>
      <w:r>
        <w:rPr>
          <w:rFonts w:hint="eastAsia"/>
          <w:sz w:val="18"/>
          <w:szCs w:val="18"/>
        </w:rPr>
        <w:t>本公司通过多次交易分步处置对子公司股权投资直至丧失控制权，如果上述交易属于一揽子交易的，将各项交易作为一项处置子公司股权投资并丧失控制权的交易进行会计处理，在丧失控制权之前每一次处置价款与所处置的股权对应的长期股权投资账面价值之间的差额，先确认为其他综合收益，到丧失控制权时再一并转入丧失控制权的当期损益。</w:t>
      </w:r>
    </w:p>
    <w:p>
      <w:pPr>
        <w:pStyle w:val="4"/>
        <w:spacing w:line="280" w:lineRule="exact"/>
        <w:jc w:val="left"/>
        <w:rPr>
          <w:rFonts w:ascii="宋体" w:hAnsi="宋体" w:cs="宋体"/>
          <w:b/>
          <w:bCs/>
        </w:rPr>
      </w:pPr>
      <w:bookmarkStart w:id="182" w:name="_Toc989065"/>
      <w:r>
        <w:rPr>
          <w:rFonts w:ascii="宋体" w:hAnsi="宋体" w:cs="宋体"/>
          <w:b/>
          <w:bCs/>
        </w:rPr>
        <w:t>18、投资性房地产</w:t>
      </w:r>
      <w:bookmarkEnd w:id="182"/>
    </w:p>
    <w:p>
      <w:pPr>
        <w:spacing w:before="100" w:after="100" w:line="240" w:lineRule="exact"/>
        <w:rPr>
          <w:rFonts w:ascii="宋体" w:hAnsi="宋体" w:eastAsia="宋体" w:cs="宋体"/>
          <w:sz w:val="18"/>
          <w:szCs w:val="18"/>
        </w:rPr>
      </w:pPr>
      <w:r>
        <w:rPr>
          <w:rFonts w:ascii="宋体" w:hAnsi="宋体" w:eastAsia="宋体" w:cs="宋体"/>
          <w:sz w:val="18"/>
          <w:szCs w:val="18"/>
        </w:rPr>
        <w:t>投资性房地产计量模式</w:t>
      </w:r>
    </w:p>
    <w:p>
      <w:pPr>
        <w:spacing w:line="240" w:lineRule="exact"/>
        <w:rPr>
          <w:rFonts w:ascii="宋体" w:hAnsi="宋体" w:eastAsia="宋体" w:cs="宋体"/>
          <w:sz w:val="18"/>
          <w:szCs w:val="18"/>
        </w:rPr>
      </w:pPr>
      <w:r>
        <w:rPr>
          <w:rFonts w:ascii="宋体" w:hAnsi="宋体" w:eastAsia="宋体" w:cs="宋体"/>
          <w:sz w:val="18"/>
          <w:szCs w:val="18"/>
        </w:rPr>
        <w:t>成本法计量</w:t>
      </w:r>
    </w:p>
    <w:p>
      <w:pPr>
        <w:spacing w:before="100" w:after="100" w:line="240" w:lineRule="exact"/>
        <w:rPr>
          <w:rFonts w:ascii="宋体" w:hAnsi="宋体" w:eastAsia="宋体" w:cs="宋体"/>
          <w:sz w:val="18"/>
          <w:szCs w:val="18"/>
        </w:rPr>
      </w:pPr>
      <w:r>
        <w:rPr>
          <w:rFonts w:ascii="宋体" w:hAnsi="宋体" w:eastAsia="宋体" w:cs="宋体"/>
          <w:sz w:val="18"/>
          <w:szCs w:val="18"/>
        </w:rPr>
        <w:t>折旧或摊销方法</w:t>
      </w:r>
    </w:p>
    <w:p>
      <w:pPr>
        <w:pStyle w:val="11"/>
        <w:spacing w:before="40" w:beforeAutospacing="0" w:after="40" w:afterAutospacing="0"/>
        <w:ind w:firstLine="360"/>
        <w:rPr>
          <w:rFonts w:ascii="等线" w:hAnsi="等线" w:eastAsia="等线"/>
          <w:sz w:val="21"/>
          <w:szCs w:val="21"/>
        </w:rPr>
      </w:pPr>
      <w:r>
        <w:rPr>
          <w:rFonts w:hint="eastAsia"/>
          <w:sz w:val="18"/>
          <w:szCs w:val="18"/>
        </w:rPr>
        <w:t>投资性房地产是指为赚取租金或资本增值，或两者兼有而持有的房地产。包括已出租的土地使用权、持有并准备增值后转让的土地使用权、已出租的建筑物等。</w:t>
      </w:r>
    </w:p>
    <w:p>
      <w:pPr>
        <w:pStyle w:val="11"/>
        <w:spacing w:before="40" w:beforeAutospacing="0" w:after="40" w:afterAutospacing="0"/>
        <w:ind w:firstLine="360"/>
        <w:rPr>
          <w:rFonts w:ascii="等线" w:hAnsi="等线" w:eastAsia="等线"/>
          <w:sz w:val="21"/>
          <w:szCs w:val="21"/>
        </w:rPr>
      </w:pPr>
      <w:r>
        <w:rPr>
          <w:rFonts w:hint="eastAsia"/>
          <w:sz w:val="18"/>
          <w:szCs w:val="18"/>
        </w:rPr>
        <w:t>投资性房地产按成本进行初始计量。与投资性房地产有关的后续支出，如果与该资产有关的经济利益很可能流入且其成本能可靠地计量，则计入投资性房地产成本。其他后续支出，在发生时计入当期损益。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本公司采用成本模式对投资性房地产进行后续计量，并按照与房屋建筑物或土地使用权一致的政策进行折旧或摊销。</w:t>
      </w:r>
    </w:p>
    <w:p>
      <w:pPr>
        <w:pStyle w:val="11"/>
        <w:spacing w:before="40" w:beforeAutospacing="0" w:after="40" w:afterAutospacing="0"/>
        <w:ind w:firstLine="360"/>
        <w:rPr>
          <w:rFonts w:ascii="等线" w:hAnsi="等线" w:eastAsia="等线"/>
          <w:sz w:val="21"/>
          <w:szCs w:val="21"/>
        </w:rPr>
      </w:pPr>
      <w:r>
        <w:rPr>
          <w:rFonts w:hint="eastAsia"/>
          <w:sz w:val="18"/>
          <w:szCs w:val="18"/>
        </w:rPr>
        <w:t>投资性房地产的减值测试方法和减值准备计提方法详见本附注五、24、“长期资产减值”。</w:t>
      </w:r>
    </w:p>
    <w:p>
      <w:pPr>
        <w:pStyle w:val="11"/>
        <w:spacing w:before="40" w:beforeAutospacing="0" w:after="40" w:afterAutospacing="0"/>
        <w:ind w:firstLine="360"/>
        <w:rPr>
          <w:rFonts w:ascii="等线" w:hAnsi="等线" w:eastAsia="等线"/>
          <w:sz w:val="21"/>
          <w:szCs w:val="21"/>
        </w:rPr>
      </w:pPr>
      <w:r>
        <w:rPr>
          <w:rFonts w:hint="eastAsia"/>
          <w:sz w:val="18"/>
          <w:szCs w:val="18"/>
        </w:rPr>
        <w:t>自用房地产或存货转换为投资性房地产或投资性房地产转换为自用房地产时，按转换前的账面价值作为转换后的入账价值。</w:t>
      </w:r>
    </w:p>
    <w:p>
      <w:pPr>
        <w:pStyle w:val="11"/>
        <w:spacing w:before="40" w:beforeAutospacing="0" w:after="40" w:afterAutospacing="0"/>
        <w:ind w:firstLine="360"/>
        <w:rPr>
          <w:sz w:val="18"/>
          <w:szCs w:val="18"/>
        </w:rPr>
      </w:pPr>
      <w:r>
        <w:rPr>
          <w:rFonts w:hint="eastAsia"/>
          <w:sz w:val="18"/>
          <w:szCs w:val="18"/>
        </w:rPr>
        <w:t>当投资性房地产被处置、或者永久退出使用且预计不能从其处置中取得经济利益时，终止确认该项投资性房地产。投资性房地产出售、转让、报废或毁损的处置收入扣除其账面价值和相关税费后计入当期损益。</w:t>
      </w:r>
    </w:p>
    <w:p>
      <w:pPr>
        <w:pStyle w:val="4"/>
        <w:spacing w:line="280" w:lineRule="exact"/>
        <w:jc w:val="left"/>
        <w:rPr>
          <w:rFonts w:ascii="宋体" w:hAnsi="宋体" w:cs="宋体"/>
          <w:b/>
          <w:bCs/>
        </w:rPr>
      </w:pPr>
      <w:bookmarkStart w:id="183" w:name="_Toc989066"/>
      <w:r>
        <w:rPr>
          <w:rFonts w:ascii="宋体" w:hAnsi="宋体" w:cs="宋体"/>
          <w:b/>
          <w:bCs/>
        </w:rPr>
        <w:t>19、固定资产</w:t>
      </w:r>
      <w:bookmarkEnd w:id="183"/>
    </w:p>
    <w:p>
      <w:pPr>
        <w:keepNext/>
        <w:keepLines/>
        <w:spacing w:before="300" w:after="300" w:line="280" w:lineRule="exact"/>
        <w:outlineLvl w:val="3"/>
        <w:rPr>
          <w:rFonts w:ascii="宋体" w:hAnsi="宋体" w:eastAsia="宋体" w:cs="宋体"/>
          <w:b/>
          <w:bCs/>
          <w:szCs w:val="21"/>
        </w:rPr>
      </w:pPr>
      <w:bookmarkStart w:id="184" w:name="_Toc989067"/>
      <w:r>
        <w:rPr>
          <w:rFonts w:ascii="宋体" w:hAnsi="宋体" w:eastAsia="宋体" w:cs="宋体"/>
          <w:b/>
          <w:bCs/>
          <w:szCs w:val="21"/>
        </w:rPr>
        <w:t>（1） 确认条件</w:t>
      </w:r>
      <w:bookmarkEnd w:id="184"/>
    </w:p>
    <w:p>
      <w:pPr>
        <w:pStyle w:val="11"/>
        <w:spacing w:before="40" w:beforeAutospacing="0" w:after="40" w:afterAutospacing="0"/>
        <w:ind w:firstLine="360"/>
        <w:rPr>
          <w:sz w:val="18"/>
          <w:szCs w:val="18"/>
        </w:rPr>
      </w:pPr>
      <w:r>
        <w:rPr>
          <w:rFonts w:hint="eastAsia"/>
          <w:sz w:val="18"/>
          <w:szCs w:val="18"/>
        </w:rPr>
        <w:t>固定资产是指为生产商品、提供劳务、出租或经营管理而持有的，使用寿命超过一个会计年度的有形资产。固定资产仅在与其有关的经济利益很可能流入本公司，且其成本能够可靠地计量时才予以确认。固定资产按成本并考虑预计弃置费用因素的影响进行初始计量。</w:t>
      </w:r>
    </w:p>
    <w:p>
      <w:pPr>
        <w:keepNext/>
        <w:keepLines/>
        <w:spacing w:before="300" w:after="300" w:line="280" w:lineRule="exact"/>
        <w:outlineLvl w:val="3"/>
        <w:rPr>
          <w:rFonts w:ascii="宋体" w:hAnsi="宋体" w:eastAsia="宋体" w:cs="宋体"/>
          <w:b/>
          <w:bCs/>
          <w:szCs w:val="21"/>
        </w:rPr>
      </w:pPr>
      <w:bookmarkStart w:id="185" w:name="_Toc989068"/>
      <w:r>
        <w:rPr>
          <w:rFonts w:ascii="宋体" w:hAnsi="宋体" w:eastAsia="宋体" w:cs="宋体"/>
          <w:b/>
          <w:bCs/>
          <w:szCs w:val="21"/>
        </w:rPr>
        <w:t>（2） 折旧方法</w:t>
      </w:r>
      <w:bookmarkEnd w:id="185"/>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折旧方法</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折旧年限</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残值率</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年折旧率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房屋及建筑物</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年限平均法</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5.00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4.75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光伏发电设备</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年限平均法</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5.00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4.75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供水管网</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年限平均法</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20-30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5.00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4.75-3.17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机器设备</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年限平均法</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5.00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9.50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运输设备</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年限平均法</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5.00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15.83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其他设备</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年限平均法</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5</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5.00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19.00</w:t>
            </w:r>
          </w:p>
        </w:tc>
      </w:tr>
    </w:tbl>
    <w:p>
      <w:pPr>
        <w:keepNext/>
        <w:keepLines/>
        <w:spacing w:before="300" w:after="300" w:line="280" w:lineRule="exact"/>
        <w:outlineLvl w:val="3"/>
        <w:rPr>
          <w:rFonts w:ascii="宋体" w:hAnsi="宋体" w:eastAsia="宋体" w:cs="宋体"/>
          <w:b/>
          <w:bCs/>
          <w:szCs w:val="21"/>
        </w:rPr>
      </w:pPr>
      <w:bookmarkStart w:id="186" w:name="_Toc989069"/>
      <w:r>
        <w:rPr>
          <w:rFonts w:ascii="宋体" w:hAnsi="宋体" w:eastAsia="宋体" w:cs="宋体"/>
          <w:b/>
          <w:bCs/>
          <w:szCs w:val="21"/>
        </w:rPr>
        <w:t>（3） 融资租入固定资产的认定依据、计价和折旧方法</w:t>
      </w:r>
      <w:bookmarkEnd w:id="186"/>
    </w:p>
    <w:p>
      <w:pPr>
        <w:pStyle w:val="11"/>
        <w:spacing w:before="40" w:beforeAutospacing="0" w:after="40" w:afterAutospacing="0"/>
        <w:ind w:firstLine="360"/>
        <w:rPr>
          <w:sz w:val="18"/>
          <w:szCs w:val="18"/>
        </w:rPr>
      </w:pPr>
      <w:r>
        <w:rPr>
          <w:rFonts w:hint="eastAsia"/>
          <w:sz w:val="18"/>
          <w:szCs w:val="18"/>
        </w:rPr>
        <w:t>融资租赁为实质上转移了与资产所有权有关的全部风险和报酬的租赁，其所有权最终可能转移，也可能不转移。以融资租赁方式租入的固定资产采用与自有固定资产一致的政策计提租赁资产折旧。能够合理确定租赁期届满时取得租赁资产所有权的在租赁资产使用寿命内计提折旧，无法合理确定租赁期届满能够取得租赁资产所有权的，在租赁期与租赁资产使用寿命两者中较短的期间内计提折旧。</w:t>
      </w:r>
    </w:p>
    <w:p>
      <w:pPr>
        <w:pStyle w:val="11"/>
        <w:spacing w:before="40" w:beforeAutospacing="0" w:after="40" w:afterAutospacing="0"/>
        <w:ind w:firstLine="360"/>
        <w:rPr>
          <w:sz w:val="18"/>
          <w:szCs w:val="18"/>
        </w:rPr>
      </w:pPr>
      <w:r>
        <w:rPr>
          <w:rFonts w:hint="eastAsia"/>
          <w:sz w:val="18"/>
          <w:szCs w:val="18"/>
        </w:rPr>
        <w:t>固定资产的减值测试方法、减值准备计提方法见本附注五、24“长期资产减值”。</w:t>
      </w:r>
    </w:p>
    <w:p>
      <w:pPr>
        <w:pStyle w:val="4"/>
        <w:spacing w:line="280" w:lineRule="exact"/>
        <w:jc w:val="left"/>
        <w:rPr>
          <w:rFonts w:ascii="宋体" w:hAnsi="宋体" w:cs="宋体"/>
          <w:b/>
          <w:bCs/>
        </w:rPr>
      </w:pPr>
      <w:bookmarkStart w:id="187" w:name="_Toc989070"/>
      <w:r>
        <w:rPr>
          <w:rFonts w:ascii="宋体" w:hAnsi="宋体" w:cs="宋体"/>
          <w:b/>
          <w:bCs/>
        </w:rPr>
        <w:t>20、在建工程</w:t>
      </w:r>
      <w:bookmarkEnd w:id="187"/>
    </w:p>
    <w:p>
      <w:pPr>
        <w:pStyle w:val="11"/>
        <w:spacing w:before="40" w:beforeAutospacing="0" w:after="40" w:afterAutospacing="0"/>
        <w:ind w:firstLine="360"/>
        <w:rPr>
          <w:sz w:val="18"/>
          <w:szCs w:val="18"/>
        </w:rPr>
      </w:pPr>
      <w:r>
        <w:rPr>
          <w:rFonts w:hint="eastAsia"/>
          <w:sz w:val="18"/>
          <w:szCs w:val="18"/>
        </w:rPr>
        <w:t>在建工程成本按实际工程支出确定，包括在建期间发生的各项工程支出、工程达到预定可使用状态前的资本化的借款费用以及其他相关费用等。在建工程在达到预定可使用状态后结转为固定资产。</w:t>
      </w:r>
    </w:p>
    <w:p>
      <w:pPr>
        <w:pStyle w:val="11"/>
        <w:spacing w:before="40" w:beforeAutospacing="0" w:after="40" w:afterAutospacing="0"/>
        <w:ind w:firstLine="360"/>
        <w:rPr>
          <w:sz w:val="18"/>
          <w:szCs w:val="18"/>
        </w:rPr>
      </w:pPr>
      <w:r>
        <w:rPr>
          <w:rFonts w:hint="eastAsia"/>
          <w:sz w:val="18"/>
          <w:szCs w:val="18"/>
        </w:rPr>
        <w:t>在建工程的减值测试方法和减值准备计提方法详见本附注五、24“长期资产减值”</w:t>
      </w:r>
    </w:p>
    <w:p>
      <w:pPr>
        <w:pStyle w:val="4"/>
        <w:spacing w:line="280" w:lineRule="exact"/>
        <w:jc w:val="left"/>
        <w:rPr>
          <w:rFonts w:ascii="宋体" w:hAnsi="宋体" w:cs="宋体"/>
          <w:b/>
          <w:bCs/>
        </w:rPr>
      </w:pPr>
      <w:bookmarkStart w:id="188" w:name="_Toc989071"/>
      <w:r>
        <w:rPr>
          <w:rFonts w:ascii="宋体" w:hAnsi="宋体" w:cs="宋体"/>
          <w:b/>
          <w:bCs/>
        </w:rPr>
        <w:t>21、借款费用</w:t>
      </w:r>
      <w:bookmarkEnd w:id="188"/>
    </w:p>
    <w:p>
      <w:pPr>
        <w:pStyle w:val="11"/>
        <w:spacing w:before="40" w:beforeAutospacing="0" w:after="40" w:afterAutospacing="0"/>
        <w:ind w:firstLine="360"/>
        <w:rPr>
          <w:rFonts w:ascii="等线" w:hAnsi="等线" w:eastAsia="等线"/>
          <w:sz w:val="21"/>
          <w:szCs w:val="21"/>
        </w:rPr>
      </w:pPr>
      <w:r>
        <w:rPr>
          <w:rFonts w:hint="eastAsia"/>
          <w:sz w:val="18"/>
          <w:szCs w:val="18"/>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构建或者生产的符合资本化条件的资产达到预定可使用状态或者可销售状态时，停止资本化。其余借款费用在发生当期确认为费用。</w:t>
      </w:r>
    </w:p>
    <w:p>
      <w:pPr>
        <w:pStyle w:val="11"/>
        <w:spacing w:before="40" w:beforeAutospacing="0" w:after="40" w:afterAutospacing="0"/>
        <w:ind w:firstLine="360"/>
        <w:rPr>
          <w:rFonts w:ascii="等线" w:hAnsi="等线" w:eastAsia="等线"/>
          <w:sz w:val="21"/>
          <w:szCs w:val="21"/>
        </w:rPr>
      </w:pPr>
      <w:r>
        <w:rPr>
          <w:rFonts w:hint="eastAsia"/>
          <w:sz w:val="18"/>
          <w:szCs w:val="18"/>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pPr>
        <w:pStyle w:val="11"/>
        <w:spacing w:before="40" w:beforeAutospacing="0" w:after="40" w:afterAutospacing="0"/>
        <w:ind w:firstLine="360"/>
        <w:rPr>
          <w:rFonts w:ascii="等线" w:hAnsi="等线" w:eastAsia="等线"/>
          <w:sz w:val="21"/>
          <w:szCs w:val="21"/>
        </w:rPr>
      </w:pPr>
      <w:r>
        <w:rPr>
          <w:rFonts w:hint="eastAsia"/>
          <w:sz w:val="18"/>
          <w:szCs w:val="18"/>
        </w:rPr>
        <w:t>资本化期间内，外币专门借款的汇兑差额全部予以资本化；外币一般借款的汇兑差额计入当期损益。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符合资本化条件的资产指需要经过相当长时间的购建或者生产活动才能达到预定可使用或可销售状态的固定资产、投资性房地产和存货等资产。</w:t>
      </w:r>
    </w:p>
    <w:p>
      <w:pPr>
        <w:pStyle w:val="11"/>
        <w:spacing w:before="40" w:beforeAutospacing="0" w:after="40" w:afterAutospacing="0"/>
        <w:ind w:firstLine="360"/>
        <w:rPr>
          <w:rFonts w:ascii="等线" w:hAnsi="等线" w:eastAsia="等线"/>
          <w:sz w:val="21"/>
          <w:szCs w:val="21"/>
        </w:rPr>
      </w:pPr>
      <w:r>
        <w:rPr>
          <w:rFonts w:hint="eastAsia"/>
          <w:sz w:val="18"/>
          <w:szCs w:val="18"/>
        </w:rPr>
        <w:t>如果符合资本化条件的资产在购建或生产过程中发生非正常中断、并且中断时间连续超过3个月的，暂停借款费用的资本化，直至资产的购建或生产活动重新开始。</w:t>
      </w:r>
    </w:p>
    <w:p>
      <w:pPr>
        <w:pStyle w:val="4"/>
        <w:spacing w:line="280" w:lineRule="exact"/>
        <w:jc w:val="left"/>
        <w:rPr>
          <w:rFonts w:ascii="宋体" w:hAnsi="宋体" w:cs="宋体"/>
          <w:b/>
          <w:bCs/>
        </w:rPr>
      </w:pPr>
      <w:bookmarkStart w:id="189" w:name="_Toc989072"/>
      <w:r>
        <w:rPr>
          <w:rFonts w:ascii="宋体" w:hAnsi="宋体" w:cs="宋体"/>
          <w:b/>
          <w:bCs/>
        </w:rPr>
        <w:t>22、使用权资产</w:t>
      </w:r>
      <w:bookmarkEnd w:id="189"/>
    </w:p>
    <w:p>
      <w:pPr>
        <w:pStyle w:val="11"/>
        <w:spacing w:before="40" w:beforeAutospacing="0" w:after="40" w:afterAutospacing="0"/>
        <w:ind w:firstLine="360"/>
        <w:rPr>
          <w:rFonts w:ascii="等线" w:hAnsi="等线" w:eastAsia="等线"/>
          <w:sz w:val="21"/>
          <w:szCs w:val="21"/>
        </w:rPr>
      </w:pPr>
      <w:r>
        <w:rPr>
          <w:rFonts w:hint="eastAsia"/>
          <w:sz w:val="18"/>
          <w:szCs w:val="18"/>
        </w:rPr>
        <w:t>在租赁期开始日，本公司对除短期租赁和低价值资产租赁以外的租赁确认使用权资产。使用权资产按照成本进行初始计量，包括：租赁负债的初始计量金额；在租赁期开始日或之前支付的租赁付款额(扣除已享受的租赁激励相关金额)；发生的初始直接费用；为拆卸及移除租赁资产、复原租赁资产所在场地或将租赁资产恢复至租赁条款约定状态预计将发生的成本。</w:t>
      </w:r>
    </w:p>
    <w:p>
      <w:pPr>
        <w:pStyle w:val="11"/>
        <w:spacing w:before="40" w:beforeAutospacing="0" w:after="40" w:afterAutospacing="0"/>
        <w:ind w:firstLine="360"/>
        <w:rPr>
          <w:rFonts w:ascii="等线" w:hAnsi="等线" w:eastAsia="等线"/>
          <w:sz w:val="21"/>
          <w:szCs w:val="21"/>
        </w:rPr>
      </w:pPr>
      <w:r>
        <w:rPr>
          <w:rFonts w:hint="eastAsia"/>
          <w:sz w:val="18"/>
          <w:szCs w:val="18"/>
        </w:rPr>
        <w:t>本公司使用直线法对使用权资产计提折旧。对能够合理确定租赁期届满时取得租赁资产所有权的，本公司在租赁资产剩余使用寿命内计提折旧。无法合理确定租赁期届满时能够取得租赁资产所有权的，租赁资产在租赁期与租赁资产剩余使用寿命两者孰短的期间内计提折旧。</w:t>
      </w:r>
    </w:p>
    <w:p>
      <w:pPr>
        <w:pStyle w:val="4"/>
        <w:spacing w:line="280" w:lineRule="exact"/>
        <w:jc w:val="left"/>
        <w:rPr>
          <w:rFonts w:ascii="宋体" w:hAnsi="宋体" w:cs="宋体"/>
          <w:b/>
          <w:bCs/>
        </w:rPr>
      </w:pPr>
      <w:bookmarkStart w:id="190" w:name="_Toc989073"/>
      <w:r>
        <w:rPr>
          <w:rFonts w:ascii="宋体" w:hAnsi="宋体" w:cs="宋体"/>
          <w:b/>
          <w:bCs/>
        </w:rPr>
        <w:t>23、无形资产</w:t>
      </w:r>
      <w:bookmarkEnd w:id="190"/>
    </w:p>
    <w:p>
      <w:pPr>
        <w:keepNext/>
        <w:keepLines/>
        <w:spacing w:before="300" w:after="300" w:line="280" w:lineRule="exact"/>
        <w:outlineLvl w:val="3"/>
        <w:rPr>
          <w:rFonts w:ascii="宋体" w:hAnsi="宋体" w:eastAsia="宋体" w:cs="宋体"/>
          <w:b/>
          <w:bCs/>
          <w:szCs w:val="21"/>
        </w:rPr>
      </w:pPr>
      <w:bookmarkStart w:id="191" w:name="_Toc989074"/>
      <w:r>
        <w:rPr>
          <w:rFonts w:ascii="宋体" w:hAnsi="宋体" w:eastAsia="宋体" w:cs="宋体"/>
          <w:b/>
          <w:bCs/>
          <w:szCs w:val="21"/>
        </w:rPr>
        <w:t>（1） 计价方法、使用寿命、减值测试</w:t>
      </w:r>
      <w:bookmarkEnd w:id="191"/>
    </w:p>
    <w:p>
      <w:pPr>
        <w:pStyle w:val="11"/>
        <w:spacing w:before="40" w:beforeAutospacing="0" w:after="40" w:afterAutospacing="0"/>
        <w:ind w:firstLine="360"/>
        <w:rPr>
          <w:rFonts w:ascii="等线" w:hAnsi="等线" w:eastAsia="等线"/>
          <w:sz w:val="21"/>
          <w:szCs w:val="21"/>
        </w:rPr>
      </w:pPr>
      <w:r>
        <w:rPr>
          <w:rFonts w:hint="eastAsia"/>
          <w:sz w:val="18"/>
          <w:szCs w:val="18"/>
        </w:rPr>
        <w:t>无形资产是指本公司拥有或者控制的没有实物形态的可辨认非货币性资产。</w:t>
      </w:r>
    </w:p>
    <w:p>
      <w:pPr>
        <w:pStyle w:val="11"/>
        <w:spacing w:before="40" w:beforeAutospacing="0" w:after="40" w:afterAutospacing="0"/>
        <w:ind w:firstLine="360"/>
        <w:rPr>
          <w:rFonts w:ascii="等线" w:hAnsi="等线" w:eastAsia="等线"/>
          <w:sz w:val="21"/>
          <w:szCs w:val="21"/>
        </w:rPr>
      </w:pPr>
      <w:r>
        <w:rPr>
          <w:rFonts w:hint="eastAsia"/>
          <w:sz w:val="18"/>
          <w:szCs w:val="18"/>
        </w:rPr>
        <w:t>无形资产按成本进行初始计量。与无形资产有关的支出，如果相关的经济利益很可能流入本公司且其成本能可靠地计量，则计入无形资产成本。除此以外的其他项目的支出，在发生时计入当期损益。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取得的土地使用权通常作为无形资产核算。自行开发建造厂房等建筑物，相关的土地使用权支出和建筑物建造成本则分别作为无形资产和固定资产核算。如为外购的房屋及建筑物，则将有关价款在土地使用权和建筑物之间进行分配，难以合理分配的，全部作为固定资产处理。</w:t>
      </w:r>
    </w:p>
    <w:p>
      <w:pPr>
        <w:pStyle w:val="11"/>
        <w:spacing w:before="40" w:beforeAutospacing="0" w:after="40" w:afterAutospacing="0"/>
        <w:ind w:firstLine="360"/>
        <w:rPr>
          <w:rFonts w:ascii="等线" w:hAnsi="等线" w:eastAsia="等线"/>
          <w:sz w:val="21"/>
          <w:szCs w:val="21"/>
        </w:rPr>
      </w:pPr>
      <w:r>
        <w:rPr>
          <w:rFonts w:hint="eastAsia"/>
          <w:sz w:val="18"/>
          <w:szCs w:val="18"/>
        </w:rPr>
        <w:t>使用寿命有限的无形资产自可供使用时起，对其原值在其预计使用寿命内采用直线法分期平均摊销。使用寿命不确定的无形资产不予摊销。</w:t>
      </w:r>
    </w:p>
    <w:p>
      <w:pPr>
        <w:pStyle w:val="11"/>
        <w:spacing w:before="40" w:beforeAutospacing="0" w:after="40" w:afterAutospacing="0"/>
        <w:ind w:firstLine="360"/>
        <w:rPr>
          <w:rFonts w:ascii="等线" w:hAnsi="等线" w:eastAsia="等线"/>
          <w:sz w:val="21"/>
          <w:szCs w:val="21"/>
        </w:rPr>
      </w:pPr>
      <w:r>
        <w:rPr>
          <w:rFonts w:hint="eastAsia"/>
          <w:sz w:val="18"/>
          <w:szCs w:val="18"/>
        </w:rPr>
        <w:t>期末，对使用寿命有限的无形资产的使用寿命和摊销方法进行复核，如发生变更则作为会计估计变更处理。此外，还对使用寿命不确定的无形资产的使用寿命进行复核，如果有证据表明该无形资产为企业带来经济利益的期限是可预见的，则估计其使用寿命并按照使用寿命有限的无形资产的摊销政策进行摊销。</w:t>
      </w:r>
    </w:p>
    <w:p>
      <w:pPr>
        <w:pStyle w:val="11"/>
        <w:spacing w:before="40" w:beforeAutospacing="0" w:after="40" w:afterAutospacing="0"/>
        <w:ind w:firstLine="360"/>
        <w:rPr>
          <w:rFonts w:ascii="等线" w:hAnsi="等线" w:eastAsia="等线"/>
          <w:sz w:val="21"/>
          <w:szCs w:val="21"/>
        </w:rPr>
      </w:pPr>
      <w:r>
        <w:rPr>
          <w:rFonts w:hint="eastAsia"/>
          <w:sz w:val="18"/>
          <w:szCs w:val="18"/>
        </w:rPr>
        <w:t>无形资产的减值测试方法和减值准备计提方法详见本附注五、24、“长期资产减值”。</w:t>
      </w:r>
    </w:p>
    <w:p>
      <w:pPr>
        <w:keepNext/>
        <w:keepLines/>
        <w:spacing w:before="300" w:after="300" w:line="280" w:lineRule="exact"/>
        <w:outlineLvl w:val="3"/>
        <w:rPr>
          <w:rFonts w:ascii="宋体" w:hAnsi="宋体" w:eastAsia="宋体" w:cs="宋体"/>
          <w:b/>
          <w:bCs/>
          <w:szCs w:val="21"/>
        </w:rPr>
      </w:pPr>
      <w:bookmarkStart w:id="192" w:name="_Toc989075"/>
      <w:r>
        <w:rPr>
          <w:rFonts w:ascii="宋体" w:hAnsi="宋体" w:eastAsia="宋体" w:cs="宋体"/>
          <w:b/>
          <w:bCs/>
          <w:szCs w:val="21"/>
        </w:rPr>
        <w:t>（2） 内部研究开发支出会计政策</w:t>
      </w:r>
      <w:bookmarkEnd w:id="192"/>
    </w:p>
    <w:p>
      <w:pPr>
        <w:pStyle w:val="11"/>
        <w:spacing w:before="40" w:beforeAutospacing="0" w:after="40" w:afterAutospacing="0"/>
        <w:ind w:firstLine="360"/>
        <w:rPr>
          <w:rFonts w:ascii="等线" w:hAnsi="等线" w:eastAsia="等线"/>
          <w:sz w:val="21"/>
          <w:szCs w:val="21"/>
        </w:rPr>
      </w:pPr>
      <w:r>
        <w:rPr>
          <w:rFonts w:hint="eastAsia"/>
          <w:sz w:val="18"/>
          <w:szCs w:val="18"/>
        </w:rPr>
        <w:t>本公司内部研究开发项目的支出分为研究阶段支出与开发阶段支出。</w:t>
      </w:r>
    </w:p>
    <w:p>
      <w:pPr>
        <w:pStyle w:val="11"/>
        <w:spacing w:before="40" w:beforeAutospacing="0" w:after="40" w:afterAutospacing="0"/>
        <w:ind w:firstLine="360"/>
        <w:rPr>
          <w:rFonts w:ascii="等线" w:hAnsi="等线" w:eastAsia="等线"/>
          <w:sz w:val="21"/>
          <w:szCs w:val="21"/>
        </w:rPr>
      </w:pPr>
      <w:r>
        <w:rPr>
          <w:rFonts w:hint="eastAsia"/>
          <w:sz w:val="18"/>
          <w:szCs w:val="18"/>
        </w:rPr>
        <w:t>研究阶段的支出，于发生时计入当期损益。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开发阶段的支出同时满足下列条件的，确认为无形资产，不能满足下述条件的开发阶段的支出计入当期损益：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①完成该无形资产以使其能够使用或出售在技术上具有可行性；</w:t>
      </w:r>
    </w:p>
    <w:p>
      <w:pPr>
        <w:pStyle w:val="11"/>
        <w:spacing w:before="40" w:beforeAutospacing="0" w:after="40" w:afterAutospacing="0"/>
        <w:ind w:firstLine="360"/>
        <w:rPr>
          <w:rFonts w:ascii="等线" w:hAnsi="等线" w:eastAsia="等线"/>
          <w:sz w:val="21"/>
          <w:szCs w:val="21"/>
        </w:rPr>
      </w:pPr>
      <w:r>
        <w:rPr>
          <w:rFonts w:hint="eastAsia"/>
          <w:sz w:val="18"/>
          <w:szCs w:val="18"/>
        </w:rPr>
        <w:t>②具有完成该无形资产并使用或出售的意图；</w:t>
      </w:r>
    </w:p>
    <w:p>
      <w:pPr>
        <w:pStyle w:val="11"/>
        <w:spacing w:before="40" w:beforeAutospacing="0" w:after="40" w:afterAutospacing="0"/>
        <w:ind w:firstLine="360"/>
        <w:rPr>
          <w:rFonts w:ascii="等线" w:hAnsi="等线" w:eastAsia="等线"/>
          <w:sz w:val="21"/>
          <w:szCs w:val="21"/>
        </w:rPr>
      </w:pPr>
      <w:r>
        <w:rPr>
          <w:rFonts w:hint="eastAsia"/>
          <w:sz w:val="18"/>
          <w:szCs w:val="18"/>
        </w:rPr>
        <w:t>③无形资产产生经济利益的方式，包括能够证明运用该无形资产生产的产品存在市场或无形资产自身存在市场，无形资产将在内部使用的，能够证明其有用性；</w:t>
      </w:r>
    </w:p>
    <w:p>
      <w:pPr>
        <w:pStyle w:val="11"/>
        <w:spacing w:before="40" w:beforeAutospacing="0" w:after="40" w:afterAutospacing="0"/>
        <w:ind w:firstLine="360"/>
        <w:rPr>
          <w:rFonts w:ascii="等线" w:hAnsi="等线" w:eastAsia="等线"/>
          <w:sz w:val="21"/>
          <w:szCs w:val="21"/>
        </w:rPr>
      </w:pPr>
      <w:r>
        <w:rPr>
          <w:rFonts w:hint="eastAsia"/>
          <w:sz w:val="18"/>
          <w:szCs w:val="18"/>
        </w:rPr>
        <w:t>④有足够的技术、财务资源和其他资源支持，以完成该无形资产的开发，并有能力使用或出售该无形资产；</w:t>
      </w:r>
    </w:p>
    <w:p>
      <w:pPr>
        <w:pStyle w:val="11"/>
        <w:spacing w:before="40" w:beforeAutospacing="0" w:after="40" w:afterAutospacing="0"/>
        <w:ind w:firstLine="360"/>
        <w:rPr>
          <w:rFonts w:ascii="等线" w:hAnsi="等线" w:eastAsia="等线"/>
          <w:sz w:val="21"/>
          <w:szCs w:val="21"/>
        </w:rPr>
      </w:pPr>
      <w:r>
        <w:rPr>
          <w:rFonts w:hint="eastAsia"/>
          <w:sz w:val="18"/>
          <w:szCs w:val="18"/>
        </w:rPr>
        <w:t>⑤归属于该无形资产开发阶段的支出能够可靠地计量。</w:t>
      </w:r>
    </w:p>
    <w:p>
      <w:pPr>
        <w:pStyle w:val="11"/>
        <w:spacing w:before="40" w:beforeAutospacing="0" w:after="40" w:afterAutospacing="0"/>
        <w:ind w:firstLine="360"/>
        <w:rPr>
          <w:rFonts w:ascii="等线" w:hAnsi="等线" w:eastAsia="等线"/>
          <w:sz w:val="21"/>
          <w:szCs w:val="21"/>
        </w:rPr>
      </w:pPr>
      <w:r>
        <w:rPr>
          <w:rFonts w:hint="eastAsia"/>
          <w:sz w:val="18"/>
          <w:szCs w:val="18"/>
        </w:rPr>
        <w:t>无法区分研究阶段支出和开发阶段支出的，将发生的研发支出全部计入当期损益。</w:t>
      </w:r>
    </w:p>
    <w:p>
      <w:pPr>
        <w:pStyle w:val="4"/>
        <w:spacing w:line="280" w:lineRule="exact"/>
        <w:jc w:val="left"/>
        <w:rPr>
          <w:rFonts w:ascii="宋体" w:hAnsi="宋体" w:cs="宋体"/>
          <w:b/>
          <w:bCs/>
        </w:rPr>
      </w:pPr>
      <w:bookmarkStart w:id="193" w:name="_Toc989076"/>
      <w:r>
        <w:rPr>
          <w:rFonts w:ascii="宋体" w:hAnsi="宋体" w:cs="宋体"/>
          <w:b/>
          <w:bCs/>
        </w:rPr>
        <w:t>24、长期资产减值</w:t>
      </w:r>
      <w:bookmarkEnd w:id="193"/>
    </w:p>
    <w:p>
      <w:pPr>
        <w:pStyle w:val="11"/>
        <w:spacing w:before="40" w:beforeAutospacing="0" w:after="40" w:afterAutospacing="0"/>
        <w:ind w:firstLine="360"/>
        <w:rPr>
          <w:rFonts w:ascii="等线" w:hAnsi="等线" w:eastAsia="等线"/>
          <w:sz w:val="21"/>
          <w:szCs w:val="21"/>
        </w:rPr>
      </w:pPr>
      <w:r>
        <w:rPr>
          <w:rFonts w:hint="eastAsia"/>
          <w:sz w:val="18"/>
          <w:szCs w:val="18"/>
        </w:rPr>
        <w:t>对于固定资产、在建工程、使用寿命有限的无形资产、以成本模式计量的投资性房地产及对子公司、合营企业、联营企业的长期股权投资等非流动非金融资产，本公司于资产负债表日判断是否存在减值迹象。如存在减值迹象的，则估计其可收回金额，进行减值测试。商誉、使用寿命不确定的无形资产和尚未达到可使用状态的无形资产，无论是否存在减值迹象，每年均进行减值测试。</w:t>
      </w:r>
    </w:p>
    <w:p>
      <w:pPr>
        <w:pStyle w:val="11"/>
        <w:spacing w:before="40" w:beforeAutospacing="0" w:after="40" w:afterAutospacing="0"/>
        <w:ind w:firstLine="360"/>
        <w:rPr>
          <w:rFonts w:ascii="等线" w:hAnsi="等线" w:eastAsia="等线"/>
          <w:sz w:val="21"/>
          <w:szCs w:val="21"/>
        </w:rPr>
      </w:pPr>
      <w:r>
        <w:rPr>
          <w:rFonts w:hint="eastAsia"/>
          <w:sz w:val="18"/>
          <w:szCs w:val="18"/>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pPr>
        <w:pStyle w:val="11"/>
        <w:spacing w:before="40" w:beforeAutospacing="0" w:after="40" w:afterAutospacing="0"/>
        <w:ind w:firstLine="360"/>
        <w:rPr>
          <w:rFonts w:ascii="等线" w:hAnsi="等线" w:eastAsia="等线"/>
          <w:sz w:val="21"/>
          <w:szCs w:val="21"/>
        </w:rPr>
      </w:pPr>
      <w:r>
        <w:rPr>
          <w:rFonts w:hint="eastAsia"/>
          <w:sz w:val="18"/>
          <w:szCs w:val="18"/>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pPr>
        <w:pStyle w:val="11"/>
        <w:spacing w:before="40" w:beforeAutospacing="0" w:after="40" w:afterAutospacing="0"/>
        <w:ind w:firstLine="360"/>
        <w:rPr>
          <w:rFonts w:ascii="等线" w:hAnsi="等线" w:eastAsia="等线"/>
          <w:sz w:val="21"/>
          <w:szCs w:val="21"/>
        </w:rPr>
      </w:pPr>
      <w:r>
        <w:rPr>
          <w:rFonts w:hint="eastAsia"/>
          <w:sz w:val="18"/>
          <w:szCs w:val="18"/>
        </w:rPr>
        <w:t>上述资产减值损失一经确认，以后期间不予转回价值得以恢复的部分。</w:t>
      </w:r>
    </w:p>
    <w:p>
      <w:pPr>
        <w:pStyle w:val="4"/>
        <w:spacing w:line="280" w:lineRule="exact"/>
        <w:jc w:val="left"/>
        <w:rPr>
          <w:rFonts w:ascii="宋体" w:hAnsi="宋体" w:cs="宋体"/>
          <w:b/>
          <w:bCs/>
        </w:rPr>
      </w:pPr>
      <w:bookmarkStart w:id="194" w:name="_Toc989077"/>
      <w:r>
        <w:rPr>
          <w:rFonts w:ascii="宋体" w:hAnsi="宋体" w:cs="宋体"/>
          <w:b/>
          <w:bCs/>
        </w:rPr>
        <w:t>25、长期待摊费用</w:t>
      </w:r>
      <w:bookmarkEnd w:id="194"/>
    </w:p>
    <w:p>
      <w:pPr>
        <w:pStyle w:val="11"/>
        <w:spacing w:before="40" w:beforeAutospacing="0" w:after="40" w:afterAutospacing="0"/>
        <w:ind w:firstLine="360"/>
        <w:rPr>
          <w:rFonts w:ascii="等线" w:hAnsi="等线" w:eastAsia="等线"/>
          <w:sz w:val="21"/>
          <w:szCs w:val="21"/>
        </w:rPr>
      </w:pPr>
      <w:r>
        <w:rPr>
          <w:rFonts w:hint="eastAsia"/>
          <w:sz w:val="18"/>
          <w:szCs w:val="18"/>
        </w:rPr>
        <w:t>长期待摊费用为已经发生但应由报告期和以后各期负担的分摊期限在一年以上的各项费用。长期待摊费用在预计受益期间按直线法摊销。</w:t>
      </w:r>
    </w:p>
    <w:p>
      <w:pPr>
        <w:pStyle w:val="4"/>
        <w:spacing w:line="280" w:lineRule="exact"/>
        <w:jc w:val="left"/>
        <w:rPr>
          <w:rFonts w:ascii="宋体" w:hAnsi="宋体" w:cs="宋体"/>
          <w:b/>
          <w:bCs/>
        </w:rPr>
      </w:pPr>
      <w:bookmarkStart w:id="195" w:name="_Toc989078"/>
      <w:r>
        <w:rPr>
          <w:rFonts w:ascii="宋体" w:hAnsi="宋体" w:cs="宋体"/>
          <w:b/>
          <w:bCs/>
        </w:rPr>
        <w:t>26、合同负债</w:t>
      </w:r>
      <w:bookmarkEnd w:id="195"/>
    </w:p>
    <w:p>
      <w:pPr>
        <w:pStyle w:val="11"/>
        <w:spacing w:before="40" w:beforeAutospacing="0" w:after="40" w:afterAutospacing="0"/>
        <w:ind w:firstLine="360"/>
        <w:rPr>
          <w:rFonts w:ascii="等线" w:hAnsi="等线" w:eastAsia="等线"/>
          <w:sz w:val="21"/>
          <w:szCs w:val="21"/>
        </w:rPr>
      </w:pPr>
      <w:r>
        <w:rPr>
          <w:rFonts w:hint="eastAsia"/>
          <w:sz w:val="18"/>
          <w:szCs w:val="18"/>
        </w:rPr>
        <w:t>合同负债，是指本公司已收或应收客户对价而应向客户转让商品的义务。如果在本公司向客户转让商品之前，客户已经支付了合同对价或本公司已经取得了无条件收款权，本公司在客户实际支付款项和到期应支付款项孰早时点，将该已收或应收款项列示为合同负债。同一合同下的合同资产和合同负债以净额列示，不同合同下的合同资产和合同负债不予抵销。</w:t>
      </w:r>
    </w:p>
    <w:p>
      <w:pPr>
        <w:pStyle w:val="4"/>
        <w:spacing w:line="280" w:lineRule="exact"/>
        <w:jc w:val="left"/>
        <w:rPr>
          <w:rFonts w:ascii="宋体" w:hAnsi="宋体" w:cs="宋体"/>
          <w:b/>
          <w:bCs/>
        </w:rPr>
      </w:pPr>
      <w:bookmarkStart w:id="196" w:name="_Toc989079"/>
      <w:r>
        <w:rPr>
          <w:rFonts w:ascii="宋体" w:hAnsi="宋体" w:cs="宋体"/>
          <w:b/>
          <w:bCs/>
        </w:rPr>
        <w:t>27、职工薪酬</w:t>
      </w:r>
      <w:bookmarkEnd w:id="196"/>
    </w:p>
    <w:p>
      <w:pPr>
        <w:keepNext/>
        <w:keepLines/>
        <w:spacing w:before="300" w:after="300" w:line="280" w:lineRule="exact"/>
        <w:outlineLvl w:val="3"/>
        <w:rPr>
          <w:rFonts w:ascii="宋体" w:hAnsi="宋体" w:eastAsia="宋体" w:cs="宋体"/>
          <w:b/>
          <w:bCs/>
          <w:szCs w:val="21"/>
        </w:rPr>
      </w:pPr>
      <w:bookmarkStart w:id="197" w:name="_Toc989080"/>
      <w:r>
        <w:rPr>
          <w:rFonts w:ascii="宋体" w:hAnsi="宋体" w:eastAsia="宋体" w:cs="宋体"/>
          <w:b/>
          <w:bCs/>
          <w:szCs w:val="21"/>
        </w:rPr>
        <w:t>（1） 短期薪酬的会计处理方法</w:t>
      </w:r>
      <w:bookmarkEnd w:id="197"/>
    </w:p>
    <w:p>
      <w:pPr>
        <w:pStyle w:val="11"/>
        <w:spacing w:before="40" w:beforeAutospacing="0" w:after="40" w:afterAutospacing="0"/>
        <w:ind w:firstLine="360"/>
        <w:rPr>
          <w:rFonts w:ascii="等线" w:hAnsi="等线" w:eastAsia="等线"/>
          <w:sz w:val="21"/>
          <w:szCs w:val="21"/>
        </w:rPr>
      </w:pPr>
      <w:r>
        <w:rPr>
          <w:rFonts w:hint="eastAsia"/>
          <w:sz w:val="18"/>
          <w:szCs w:val="18"/>
        </w:rPr>
        <w:t>本公司职工薪酬主要包括短期职工薪酬、离职后福利、辞退福利。其中：短期薪酬主要包括工资、奖金、津贴和补贴、职工福利费、医疗保险费、生育保险费、工伤保险费、住房公积金、工会经费和职工教育经费、非货币性福利等。本公司在职工为本公司提供服务的会计期间将实际发生的短期职工薪酬确认为负债，并计入当期损益或相关资产成本。其中非货币性福利按公允价值计量。</w:t>
      </w:r>
    </w:p>
    <w:p>
      <w:pPr>
        <w:keepNext/>
        <w:keepLines/>
        <w:spacing w:before="300" w:after="300" w:line="280" w:lineRule="exact"/>
        <w:outlineLvl w:val="3"/>
        <w:rPr>
          <w:rFonts w:ascii="宋体" w:hAnsi="宋体" w:eastAsia="宋体" w:cs="宋体"/>
          <w:b/>
          <w:bCs/>
          <w:szCs w:val="21"/>
        </w:rPr>
      </w:pPr>
      <w:bookmarkStart w:id="198" w:name="_Toc989081"/>
      <w:r>
        <w:rPr>
          <w:rFonts w:ascii="宋体" w:hAnsi="宋体" w:eastAsia="宋体" w:cs="宋体"/>
          <w:b/>
          <w:bCs/>
          <w:szCs w:val="21"/>
        </w:rPr>
        <w:t>（2） 离职后福利的会计处理方法</w:t>
      </w:r>
      <w:bookmarkEnd w:id="198"/>
    </w:p>
    <w:p>
      <w:pPr>
        <w:pStyle w:val="11"/>
        <w:spacing w:before="40" w:beforeAutospacing="0" w:after="40" w:afterAutospacing="0"/>
        <w:ind w:firstLine="360"/>
        <w:rPr>
          <w:rFonts w:ascii="等线" w:hAnsi="等线" w:eastAsia="等线"/>
          <w:sz w:val="21"/>
          <w:szCs w:val="21"/>
        </w:rPr>
      </w:pPr>
      <w:r>
        <w:rPr>
          <w:rFonts w:hint="eastAsia"/>
          <w:sz w:val="18"/>
          <w:szCs w:val="18"/>
        </w:rPr>
        <w:t>离职后福利主要包括设定提存计划。其中设定提存计划主要包括基本养老保险、失业保险等，相应的应缴存金额于发生时计入相关资产成本或当期损益。</w:t>
      </w:r>
    </w:p>
    <w:p>
      <w:pPr>
        <w:keepNext/>
        <w:keepLines/>
        <w:spacing w:before="300" w:after="300" w:line="280" w:lineRule="exact"/>
        <w:outlineLvl w:val="3"/>
        <w:rPr>
          <w:rFonts w:ascii="宋体" w:hAnsi="宋体" w:eastAsia="宋体" w:cs="宋体"/>
          <w:b/>
          <w:bCs/>
          <w:szCs w:val="21"/>
        </w:rPr>
      </w:pPr>
      <w:bookmarkStart w:id="199" w:name="_Toc989082"/>
      <w:r>
        <w:rPr>
          <w:rFonts w:ascii="宋体" w:hAnsi="宋体" w:eastAsia="宋体" w:cs="宋体"/>
          <w:b/>
          <w:bCs/>
          <w:szCs w:val="21"/>
        </w:rPr>
        <w:t>（3） 辞退福利的会计处理方法</w:t>
      </w:r>
      <w:bookmarkEnd w:id="199"/>
    </w:p>
    <w:p>
      <w:pPr>
        <w:pStyle w:val="11"/>
        <w:spacing w:before="40" w:beforeAutospacing="0" w:after="40" w:afterAutospacing="0"/>
        <w:ind w:firstLine="360"/>
        <w:rPr>
          <w:rFonts w:ascii="等线" w:hAnsi="等线" w:eastAsia="等线"/>
          <w:sz w:val="21"/>
          <w:szCs w:val="21"/>
        </w:rPr>
      </w:pPr>
      <w:r>
        <w:rPr>
          <w:rFonts w:hint="eastAsia"/>
          <w:sz w:val="18"/>
          <w:szCs w:val="18"/>
        </w:rPr>
        <w:t>在职工劳动合同到期之前解除与职工的劳动关系，或为鼓励职工自愿接受裁减而提出给予补偿的建议，在本公司不能单方面撤回因解除劳动关系计划或裁减建议所提供的辞退福利时，和本公司确认与涉及支付辞退福利的重组相关的成本两者孰早日，确认辞退福利产生的职工薪酬负债，并计入当期损益。但辞退福利预期在年度报告期结束后十二个月不能完全支付的，按照其他长期职工薪酬处理。</w:t>
      </w:r>
    </w:p>
    <w:p>
      <w:pPr>
        <w:pStyle w:val="11"/>
        <w:spacing w:before="40" w:beforeAutospacing="0" w:after="40" w:afterAutospacing="0"/>
        <w:ind w:firstLine="360"/>
        <w:rPr>
          <w:rFonts w:ascii="等线" w:hAnsi="等线" w:eastAsia="等线"/>
          <w:sz w:val="21"/>
          <w:szCs w:val="21"/>
        </w:rPr>
      </w:pPr>
      <w:r>
        <w:rPr>
          <w:rFonts w:hint="eastAsia"/>
          <w:sz w:val="18"/>
          <w:szCs w:val="18"/>
        </w:rPr>
        <w:t>职工内部退休计划采用上述辞退福利相同的原则处理。本公司将自职工停止提供服务日至正常退休日的期间拟支付的内退人员工资和缴纳的社会保险费等，在符合预计负债确认条件时，计入当期损益（辞退福利）。</w:t>
      </w:r>
    </w:p>
    <w:p>
      <w:pPr>
        <w:keepNext/>
        <w:keepLines/>
        <w:spacing w:before="300" w:after="300" w:line="280" w:lineRule="exact"/>
        <w:outlineLvl w:val="3"/>
        <w:rPr>
          <w:rFonts w:ascii="宋体" w:hAnsi="宋体" w:eastAsia="宋体" w:cs="宋体"/>
          <w:b/>
          <w:bCs/>
          <w:szCs w:val="21"/>
        </w:rPr>
      </w:pPr>
      <w:bookmarkStart w:id="200" w:name="_Toc989083"/>
      <w:r>
        <w:rPr>
          <w:rFonts w:ascii="宋体" w:hAnsi="宋体" w:eastAsia="宋体" w:cs="宋体"/>
          <w:b/>
          <w:bCs/>
          <w:szCs w:val="21"/>
        </w:rPr>
        <w:t>（4） 其他长期职工福利的会计处理方法</w:t>
      </w:r>
      <w:bookmarkEnd w:id="200"/>
    </w:p>
    <w:p>
      <w:pPr>
        <w:pStyle w:val="11"/>
        <w:spacing w:before="40" w:beforeAutospacing="0" w:after="40" w:afterAutospacing="0"/>
        <w:ind w:firstLine="360"/>
        <w:rPr>
          <w:rFonts w:ascii="等线" w:hAnsi="等线" w:eastAsia="等线"/>
          <w:sz w:val="21"/>
          <w:szCs w:val="21"/>
        </w:rPr>
      </w:pPr>
      <w:r>
        <w:rPr>
          <w:rFonts w:hint="eastAsia"/>
          <w:sz w:val="18"/>
          <w:szCs w:val="18"/>
        </w:rPr>
        <w:t>本公司向职工提供的其他长期职工福利，符合设定提存计划的，按照设定提存计划进行会计处理，除此之外按照设定收益计划进行会计处理。</w:t>
      </w:r>
    </w:p>
    <w:p>
      <w:pPr>
        <w:pStyle w:val="4"/>
        <w:spacing w:line="280" w:lineRule="exact"/>
        <w:jc w:val="left"/>
        <w:rPr>
          <w:rFonts w:ascii="宋体" w:hAnsi="宋体" w:cs="宋体"/>
          <w:b/>
          <w:bCs/>
        </w:rPr>
      </w:pPr>
      <w:bookmarkStart w:id="201" w:name="_Toc989084"/>
      <w:r>
        <w:rPr>
          <w:rFonts w:ascii="宋体" w:hAnsi="宋体" w:cs="宋体"/>
          <w:b/>
          <w:bCs/>
        </w:rPr>
        <w:t>28、租赁负债</w:t>
      </w:r>
      <w:bookmarkEnd w:id="201"/>
    </w:p>
    <w:p>
      <w:pPr>
        <w:pStyle w:val="11"/>
        <w:spacing w:before="40" w:beforeAutospacing="0" w:after="40" w:afterAutospacing="0"/>
        <w:ind w:firstLine="360"/>
        <w:rPr>
          <w:rFonts w:ascii="等线" w:hAnsi="等线" w:eastAsia="等线"/>
          <w:sz w:val="21"/>
          <w:szCs w:val="21"/>
        </w:rPr>
      </w:pPr>
      <w:r>
        <w:rPr>
          <w:rFonts w:hint="eastAsia"/>
          <w:sz w:val="18"/>
          <w:szCs w:val="18"/>
        </w:rPr>
        <w:t>在租赁期开始日，本公司对除短期租赁和低价值资产租赁以外的租赁确认租赁负债。租赁负债按照尚未支付的租赁付款额的现值进行初始计量。租赁付款额包括：固定付款额及实质固定付款额，存在租赁激励的，扣除租赁激励相关金额；取决于指数或比率的可变租赁付款额，该款项在初始计量时根据租赁期开始日的指数或比率确定；购买选择权的行权价格，前提是公司合理确定将行使该选择权；行使终止租赁选择权需支付的款项，前提是租赁期反映出公司将行使终止租赁选择权；根据公司提供的担保余值预计应支付的款项。本公司采用租赁内含利率作为折现率。无法确定租赁内含利率的，采用本公司的增量借款利率作为折现率。</w:t>
      </w:r>
    </w:p>
    <w:p>
      <w:pPr>
        <w:pStyle w:val="11"/>
        <w:spacing w:before="40" w:beforeAutospacing="0" w:after="40" w:afterAutospacing="0"/>
        <w:ind w:firstLine="360"/>
        <w:rPr>
          <w:rFonts w:ascii="等线" w:hAnsi="等线" w:eastAsia="等线"/>
          <w:sz w:val="21"/>
          <w:szCs w:val="21"/>
        </w:rPr>
      </w:pPr>
      <w:r>
        <w:rPr>
          <w:rFonts w:hint="eastAsia"/>
          <w:sz w:val="18"/>
          <w:szCs w:val="18"/>
        </w:rPr>
        <w:t>本公司按照固定的周期性利率计算租赁负债在租赁期内各期间的利息费用，并计入当期损益或相关资产成本。未纳入租赁负债计量的可变租赁付款额在实际发生时计入当期损益或相关资产成本。</w:t>
      </w:r>
    </w:p>
    <w:p>
      <w:pPr>
        <w:pStyle w:val="11"/>
        <w:spacing w:before="40" w:beforeAutospacing="0" w:after="40" w:afterAutospacing="0"/>
        <w:ind w:firstLine="360"/>
        <w:rPr>
          <w:rFonts w:ascii="等线" w:hAnsi="等线" w:eastAsia="等线"/>
          <w:sz w:val="21"/>
          <w:szCs w:val="21"/>
        </w:rPr>
      </w:pPr>
      <w:r>
        <w:rPr>
          <w:rFonts w:hint="eastAsia"/>
          <w:sz w:val="18"/>
          <w:szCs w:val="18"/>
        </w:rPr>
        <w:t>在租赁期开始日后，发生下列情形的，本公司按照变动后租赁付款额的现值重新计量租赁负债：本公司对购买选择权、续租选择权或终止租赁选择权的评估结果发生变化，或续租选择权或终止租赁选择权的实际行使情况与原评估结果不一致；根据担保余值预计的应付金额发生变动；用于确定租赁付款额的指数或比率发生变动。在对租赁负债进行重新计量时，本公司相应调整使用权资产的账面价值。使用权资产账面价值已调减至零，但租赁负债仍需进一步调减的，本公司将剩余金额计入当期损益。</w:t>
      </w:r>
    </w:p>
    <w:p>
      <w:pPr>
        <w:pStyle w:val="4"/>
        <w:spacing w:line="280" w:lineRule="exact"/>
        <w:jc w:val="left"/>
        <w:rPr>
          <w:rFonts w:ascii="宋体" w:hAnsi="宋体" w:cs="宋体"/>
          <w:b/>
          <w:bCs/>
        </w:rPr>
      </w:pPr>
      <w:bookmarkStart w:id="202" w:name="_Toc989085"/>
      <w:r>
        <w:rPr>
          <w:rFonts w:ascii="宋体" w:hAnsi="宋体" w:cs="宋体"/>
          <w:b/>
          <w:bCs/>
        </w:rPr>
        <w:t>29、预计负债</w:t>
      </w:r>
      <w:bookmarkEnd w:id="202"/>
    </w:p>
    <w:p>
      <w:pPr>
        <w:pStyle w:val="11"/>
        <w:spacing w:before="40" w:beforeAutospacing="0" w:after="40" w:afterAutospacing="0"/>
        <w:ind w:firstLine="360"/>
        <w:rPr>
          <w:rFonts w:ascii="等线" w:hAnsi="等线" w:eastAsia="等线"/>
          <w:sz w:val="21"/>
          <w:szCs w:val="21"/>
        </w:rPr>
      </w:pPr>
      <w:r>
        <w:rPr>
          <w:rFonts w:hint="eastAsia"/>
          <w:sz w:val="18"/>
          <w:szCs w:val="18"/>
        </w:rPr>
        <w:t>当与或有事项相关的义务同时符合以下条件，确认为预计负债：①该义务是本公司承担的现时义务；②履行该义务很可能导致经济利益流出；③该义务的金额能够可靠地计量。</w:t>
      </w:r>
    </w:p>
    <w:p>
      <w:pPr>
        <w:pStyle w:val="11"/>
        <w:spacing w:before="40" w:beforeAutospacing="0" w:after="40" w:afterAutospacing="0"/>
        <w:ind w:firstLine="360"/>
        <w:rPr>
          <w:rFonts w:ascii="等线" w:hAnsi="等线" w:eastAsia="等线"/>
          <w:sz w:val="21"/>
          <w:szCs w:val="21"/>
        </w:rPr>
      </w:pPr>
      <w:r>
        <w:rPr>
          <w:rFonts w:hint="eastAsia"/>
          <w:sz w:val="18"/>
          <w:szCs w:val="18"/>
        </w:rPr>
        <w:t>在资产负债表日，考虑与或有事项有关的风险、不确定性和货币时间价值等因素，按照履行相关现时义务所需支出的最佳估计数对预计负债进行计量。</w:t>
      </w:r>
    </w:p>
    <w:p>
      <w:pPr>
        <w:pStyle w:val="11"/>
        <w:spacing w:before="40" w:beforeAutospacing="0" w:after="40" w:afterAutospacing="0"/>
        <w:ind w:firstLine="360"/>
        <w:rPr>
          <w:rFonts w:ascii="等线" w:hAnsi="等线" w:eastAsia="等线"/>
          <w:sz w:val="21"/>
          <w:szCs w:val="21"/>
        </w:rPr>
      </w:pPr>
      <w:r>
        <w:rPr>
          <w:rFonts w:hint="eastAsia"/>
          <w:sz w:val="18"/>
          <w:szCs w:val="18"/>
        </w:rPr>
        <w:t>如果清偿预计负债所需支出全部或部分预期由第三方补偿的，补偿金额在基本确定能够收到时，作为资产单独确认，且确认的补偿金额不超过预计负债的账面价值。</w:t>
      </w:r>
    </w:p>
    <w:p>
      <w:pPr>
        <w:pStyle w:val="4"/>
        <w:spacing w:line="280" w:lineRule="exact"/>
        <w:jc w:val="left"/>
        <w:rPr>
          <w:rFonts w:ascii="宋体" w:hAnsi="宋体" w:cs="宋体"/>
          <w:b/>
          <w:bCs/>
        </w:rPr>
      </w:pPr>
      <w:bookmarkStart w:id="203" w:name="_Toc989086"/>
      <w:r>
        <w:rPr>
          <w:rFonts w:ascii="宋体" w:hAnsi="宋体" w:cs="宋体"/>
          <w:b/>
          <w:bCs/>
        </w:rPr>
        <w:t>30、股份支付</w:t>
      </w:r>
      <w:bookmarkEnd w:id="203"/>
    </w:p>
    <w:p>
      <w:pPr>
        <w:pStyle w:val="11"/>
        <w:spacing w:before="40" w:beforeAutospacing="0" w:after="40" w:afterAutospacing="0"/>
        <w:ind w:firstLine="360"/>
        <w:rPr>
          <w:rFonts w:ascii="等线" w:hAnsi="等线" w:eastAsia="等线"/>
          <w:sz w:val="21"/>
          <w:szCs w:val="21"/>
        </w:rPr>
      </w:pPr>
      <w:r>
        <w:rPr>
          <w:rFonts w:hint="eastAsia"/>
          <w:sz w:val="18"/>
          <w:szCs w:val="18"/>
        </w:rPr>
        <w:t>1、股份支付的会计处理方法</w:t>
      </w:r>
    </w:p>
    <w:p>
      <w:pPr>
        <w:pStyle w:val="11"/>
        <w:spacing w:before="40" w:beforeAutospacing="0" w:after="40" w:afterAutospacing="0"/>
        <w:ind w:firstLine="360"/>
        <w:rPr>
          <w:rFonts w:ascii="等线" w:hAnsi="等线" w:eastAsia="等线"/>
          <w:sz w:val="21"/>
          <w:szCs w:val="21"/>
        </w:rPr>
      </w:pPr>
      <w:r>
        <w:rPr>
          <w:rFonts w:hint="eastAsia"/>
          <w:sz w:val="18"/>
          <w:szCs w:val="18"/>
        </w:rPr>
        <w:t>股份支付是为了获取职工或其他方提供服务而授予权益工具或者承担以权益工具为基础确定的负债的交易。股份支付分为以权益结算的股份支付和以现金结算的股份支付。</w:t>
      </w:r>
    </w:p>
    <w:p>
      <w:pPr>
        <w:pStyle w:val="11"/>
        <w:spacing w:before="40" w:beforeAutospacing="0" w:after="40" w:afterAutospacing="0"/>
        <w:ind w:firstLine="360"/>
        <w:rPr>
          <w:rFonts w:ascii="等线" w:hAnsi="等线" w:eastAsia="等线"/>
          <w:sz w:val="21"/>
          <w:szCs w:val="21"/>
        </w:rPr>
      </w:pPr>
      <w:r>
        <w:rPr>
          <w:rFonts w:hint="eastAsia"/>
          <w:sz w:val="18"/>
          <w:szCs w:val="18"/>
        </w:rPr>
        <w:t>①以权益结算的股份支付</w:t>
      </w:r>
    </w:p>
    <w:p>
      <w:pPr>
        <w:pStyle w:val="11"/>
        <w:spacing w:before="40" w:beforeAutospacing="0" w:after="40" w:afterAutospacing="0"/>
        <w:ind w:firstLine="360"/>
        <w:rPr>
          <w:rFonts w:ascii="等线" w:hAnsi="等线" w:eastAsia="等线"/>
          <w:sz w:val="21"/>
          <w:szCs w:val="21"/>
        </w:rPr>
      </w:pPr>
      <w:r>
        <w:rPr>
          <w:rFonts w:hint="eastAsia"/>
          <w:sz w:val="18"/>
          <w:szCs w:val="18"/>
        </w:rPr>
        <w:t>用以换取职工提供的服务的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在授予后立即可行权时，在授予日计入相关成本或费用，相应增加资本公积。</w:t>
      </w:r>
    </w:p>
    <w:p>
      <w:pPr>
        <w:pStyle w:val="11"/>
        <w:spacing w:before="40" w:beforeAutospacing="0" w:after="40" w:afterAutospacing="0"/>
        <w:ind w:firstLine="360"/>
        <w:rPr>
          <w:rFonts w:ascii="等线" w:hAnsi="等线" w:eastAsia="等线"/>
          <w:sz w:val="21"/>
          <w:szCs w:val="21"/>
        </w:rPr>
      </w:pPr>
      <w:r>
        <w:rPr>
          <w:rFonts w:hint="eastAsia"/>
          <w:sz w:val="18"/>
          <w:szCs w:val="18"/>
        </w:rPr>
        <w:t>在等待期内每个资产负债表日，本公司根据最新取得的可行权职工人数变动等后续信息做出最佳估计，修正预计可行权的权益工具数量。上述估计的影响计入当期相关成本或费用，并相应调整资本公积。</w:t>
      </w:r>
    </w:p>
    <w:p>
      <w:pPr>
        <w:pStyle w:val="11"/>
        <w:spacing w:before="40" w:beforeAutospacing="0" w:after="40" w:afterAutospacing="0"/>
        <w:ind w:firstLine="360"/>
        <w:rPr>
          <w:rFonts w:ascii="等线" w:hAnsi="等线" w:eastAsia="等线"/>
          <w:sz w:val="21"/>
          <w:szCs w:val="21"/>
        </w:rPr>
      </w:pPr>
      <w:r>
        <w:rPr>
          <w:rFonts w:hint="eastAsia"/>
          <w:sz w:val="18"/>
          <w:szCs w:val="18"/>
        </w:rPr>
        <w:t>用以换取其他方服务的权益结算的股份支付，如果其他方服务的公允价值能够可靠计量，按照其他方服务在取得日的公允价值计量，如果其他方服务的公允价值不能可靠计量，但权益工具的公允价值能够可靠计量的，按照权益工具在服务取得日的公允价值计量，计入相关成本或费用，相应增加股东权益。</w:t>
      </w:r>
    </w:p>
    <w:p>
      <w:pPr>
        <w:pStyle w:val="11"/>
        <w:spacing w:before="40" w:beforeAutospacing="0" w:after="40" w:afterAutospacing="0"/>
        <w:ind w:firstLine="360"/>
        <w:rPr>
          <w:rFonts w:ascii="等线" w:hAnsi="等线" w:eastAsia="等线"/>
          <w:sz w:val="21"/>
          <w:szCs w:val="21"/>
        </w:rPr>
      </w:pPr>
      <w:r>
        <w:rPr>
          <w:rFonts w:hint="eastAsia"/>
          <w:sz w:val="18"/>
          <w:szCs w:val="18"/>
        </w:rPr>
        <w:t>②以现金结算的股份支付</w:t>
      </w:r>
    </w:p>
    <w:p>
      <w:pPr>
        <w:pStyle w:val="11"/>
        <w:spacing w:before="40" w:beforeAutospacing="0" w:after="40" w:afterAutospacing="0"/>
        <w:ind w:firstLine="360"/>
        <w:rPr>
          <w:rFonts w:ascii="等线" w:hAnsi="等线" w:eastAsia="等线"/>
          <w:sz w:val="21"/>
          <w:szCs w:val="21"/>
        </w:rPr>
      </w:pPr>
      <w:r>
        <w:rPr>
          <w:rFonts w:hint="eastAsia"/>
          <w:sz w:val="18"/>
          <w:szCs w:val="18"/>
        </w:rPr>
        <w:t>以现金结算的股份支付，按照本公司承担的以股份或其他权益工具为基础确定的负债的公允价值计量。如授予后立即可行权，在授予日计入相关成本或费用，相应增加负债；如须完成等待期内的服务或达到规定业绩条件以后才可行权，在等待期的每个资产负债表日，以对可行权情况的最佳估计为基础，按照本公司承担负债的公允价值金额，将当期取得的服务计入成本或费用，相应增加负债。</w:t>
      </w:r>
    </w:p>
    <w:p>
      <w:pPr>
        <w:pStyle w:val="11"/>
        <w:spacing w:before="40" w:beforeAutospacing="0" w:after="40" w:afterAutospacing="0"/>
        <w:ind w:firstLine="360"/>
        <w:rPr>
          <w:rFonts w:ascii="等线" w:hAnsi="等线" w:eastAsia="等线"/>
          <w:sz w:val="21"/>
          <w:szCs w:val="21"/>
        </w:rPr>
      </w:pPr>
      <w:r>
        <w:rPr>
          <w:rFonts w:hint="eastAsia"/>
          <w:sz w:val="18"/>
          <w:szCs w:val="18"/>
        </w:rPr>
        <w:t>在相关负债结算前的每个资产负债表日以及结算日，对负债的公允价值重新计量，其变动计入当期损益。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2、修改、终止股份支付计划的相关会计处理</w:t>
      </w:r>
    </w:p>
    <w:p>
      <w:pPr>
        <w:pStyle w:val="11"/>
        <w:spacing w:before="40" w:beforeAutospacing="0" w:after="40" w:afterAutospacing="0"/>
        <w:ind w:firstLine="360"/>
        <w:rPr>
          <w:rFonts w:ascii="等线" w:hAnsi="等线" w:eastAsia="等线"/>
          <w:sz w:val="21"/>
          <w:szCs w:val="21"/>
        </w:rPr>
      </w:pPr>
      <w:r>
        <w:rPr>
          <w:rFonts w:hint="eastAsia"/>
          <w:sz w:val="18"/>
          <w:szCs w:val="18"/>
        </w:rPr>
        <w:t>本公司对股份支付计划进行修改时，若修改增加了所授予权益工具的公允价值，按照权益工具公允价值的增加相应确认取得服务的增加。权益工具公允价值的增加是指修改前后的权益工具在修改日的公允价值之间的差额。若修改减少了股份支付公允价值总额或采用了其他不利于职工的方式，则仍继续对取得的服务进行会计处理，视同该变更从未发生，除非本公司取消了部分或全部已授予的权益工具。</w:t>
      </w:r>
    </w:p>
    <w:p>
      <w:pPr>
        <w:pStyle w:val="11"/>
        <w:spacing w:before="40" w:beforeAutospacing="0" w:after="40" w:afterAutospacing="0"/>
        <w:ind w:firstLine="360"/>
        <w:rPr>
          <w:rFonts w:ascii="等线" w:hAnsi="等线" w:eastAsia="等线"/>
          <w:sz w:val="21"/>
          <w:szCs w:val="21"/>
        </w:rPr>
      </w:pPr>
      <w:r>
        <w:rPr>
          <w:rFonts w:hint="eastAsia"/>
          <w:sz w:val="18"/>
          <w:szCs w:val="18"/>
        </w:rPr>
        <w:t>在等待期内，如果取消了授予的权益工具，本公司对取消所授予的权益性工具作为加速行权处理，将剩余等待期内应确认的金额立即计入当期损益，同时确认资本公积。职工或其他方能够选择满足非可行权条件但在等待期内未满足的，本公司将其作为授予权益工具的取消处理。</w:t>
      </w:r>
    </w:p>
    <w:p>
      <w:pPr>
        <w:pStyle w:val="11"/>
        <w:spacing w:before="40" w:beforeAutospacing="0" w:after="40" w:afterAutospacing="0"/>
        <w:ind w:firstLine="360"/>
        <w:rPr>
          <w:rFonts w:ascii="等线" w:hAnsi="等线" w:eastAsia="等线"/>
          <w:sz w:val="21"/>
          <w:szCs w:val="21"/>
        </w:rPr>
      </w:pPr>
      <w:r>
        <w:rPr>
          <w:rFonts w:hint="eastAsia"/>
          <w:sz w:val="18"/>
          <w:szCs w:val="18"/>
        </w:rPr>
        <w:t>公司修改以现金结算的股份支付协议中的条款和条件，使其成为以权益结算的股份支付的，在修改日（无论发生在等待期内还是等待期结束后），公司按照所授予权益工具当日的公允价值计量以权益结算的股份支付，将已取得的服务计入资本公积，同时终止确认以现金结算的股份支付在修改日已确认的负债，两者之间的差额计入当期损益。如果由于修改延长或缩短了等待期，本公司按照修改后的等待期进行前述会计处理。</w:t>
      </w:r>
    </w:p>
    <w:p>
      <w:pPr>
        <w:pStyle w:val="4"/>
        <w:spacing w:line="280" w:lineRule="exact"/>
        <w:jc w:val="left"/>
        <w:rPr>
          <w:rFonts w:ascii="宋体" w:hAnsi="宋体" w:cs="宋体"/>
          <w:b/>
          <w:bCs/>
        </w:rPr>
      </w:pPr>
      <w:bookmarkStart w:id="204" w:name="_Toc989087"/>
      <w:r>
        <w:rPr>
          <w:rFonts w:ascii="宋体" w:hAnsi="宋体" w:cs="宋体"/>
          <w:b/>
          <w:bCs/>
        </w:rPr>
        <w:t>31、收入</w:t>
      </w:r>
      <w:bookmarkEnd w:id="204"/>
    </w:p>
    <w:p>
      <w:pPr>
        <w:spacing w:before="100" w:after="100" w:line="240" w:lineRule="exact"/>
        <w:rPr>
          <w:rFonts w:ascii="宋体" w:hAnsi="宋体" w:eastAsia="宋体" w:cs="宋体"/>
          <w:sz w:val="18"/>
          <w:szCs w:val="18"/>
        </w:rPr>
      </w:pPr>
      <w:r>
        <w:rPr>
          <w:rFonts w:ascii="宋体" w:hAnsi="宋体" w:eastAsia="宋体" w:cs="宋体"/>
          <w:sz w:val="18"/>
          <w:szCs w:val="18"/>
        </w:rPr>
        <w:t>收入确认和计量所采用的会计政策</w:t>
      </w:r>
    </w:p>
    <w:p>
      <w:pPr>
        <w:spacing w:before="40" w:after="40"/>
        <w:ind w:firstLine="360" w:firstLineChars="200"/>
        <w:rPr>
          <w:rFonts w:ascii="宋体" w:hAnsi="宋体" w:eastAsia="宋体" w:cs="宋体"/>
          <w:sz w:val="18"/>
          <w:szCs w:val="18"/>
        </w:rPr>
      </w:pPr>
      <w:r>
        <w:rPr>
          <w:rFonts w:ascii="宋体" w:hAnsi="宋体" w:eastAsia="宋体" w:cs="宋体"/>
          <w:sz w:val="18"/>
          <w:szCs w:val="18"/>
        </w:rPr>
        <w:t>1、收入确认和计量所采用的会计政策</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本公司在履行了合同中的履约义务，即在客户取得相关商品的控制权时确认收入。合同中包含两项或多项履约义务的，本公司在合同开始日，按照各单项履约义务所承诺商品的单独售价的相对比例，将交易价格分摊至各单项履约义务，按照分摊至各单项履约义务的交易价格计量收入。</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交易价格是本公司因向客户转让商品而预期有权收取的对价金额。在确定交易价格时，如果存在可变对价，本公司按照期望值或最可能发生金额确定可变对价的最佳估计数，并以不超过在相关不确定性消除时累计已确认收入极可能不会发生重大转回的金额计入交易价格。合同中如果存在重大融资成分，本公司将根据合同中的融资成分调整交易价格；对于控制权转移与客户支付价款间隔未超过一年的，本公司不考虑其中的融资成分。</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本公司满足下列条件之一的，属于在某一时段内履行履约义务，否则，属于在某一时点履行履约义务：</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①</w:t>
      </w:r>
      <w:r>
        <w:rPr>
          <w:rFonts w:ascii="宋体" w:hAnsi="宋体" w:eastAsia="宋体" w:cs="宋体"/>
          <w:sz w:val="18"/>
          <w:szCs w:val="18"/>
        </w:rPr>
        <w:t>客户在本公司履约的同时即取得并消耗本公司履约所带来的经济利益。</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②</w:t>
      </w:r>
      <w:r>
        <w:rPr>
          <w:rFonts w:ascii="宋体" w:hAnsi="宋体" w:eastAsia="宋体" w:cs="宋体"/>
          <w:sz w:val="18"/>
          <w:szCs w:val="18"/>
        </w:rPr>
        <w:t>客户能够控制本公司履约过程中在建的商品。</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③</w:t>
      </w:r>
      <w:r>
        <w:rPr>
          <w:rFonts w:ascii="宋体" w:hAnsi="宋体" w:eastAsia="宋体" w:cs="宋体"/>
          <w:sz w:val="18"/>
          <w:szCs w:val="18"/>
        </w:rPr>
        <w:t>本公司履约过程中所产出的商品具有不可替代用途，且本公司在整个合同期内有权就累计至今已完成的履约部分收取款项。</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如果履约义务是在某一时段内履行的，则本公司按照履约进度确认收入。否则，本公司于客户取得相关商品控制权的某一时点确认收入。</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对于在某一时间段内履行的履约义务，本公司在该段时间内按照履约进度确认收入。当履约进度不能合理确定时，已发生的成本预计能够得到补偿的，按照已发生的成本金额确认收入，直至履约进度能够合理确定为止。</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对于在某一时点履行的履约义务，本公司在客户取得相关商品的控制权时点按合同价格确认收入。在判断客户是否已取得控制权时，本公司会考虑以下迹象：</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①</w:t>
      </w:r>
      <w:r>
        <w:rPr>
          <w:rFonts w:ascii="宋体" w:hAnsi="宋体" w:eastAsia="宋体" w:cs="宋体"/>
          <w:sz w:val="18"/>
          <w:szCs w:val="18"/>
        </w:rPr>
        <w:t>企业就该商品享有现时收款权利，即客户就该商品负有现时付款义务。</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②</w:t>
      </w:r>
      <w:r>
        <w:rPr>
          <w:rFonts w:ascii="宋体" w:hAnsi="宋体" w:eastAsia="宋体" w:cs="宋体"/>
          <w:sz w:val="18"/>
          <w:szCs w:val="18"/>
        </w:rPr>
        <w:t>企业已将该商品的法定所有权转移给客户，即客户已拥有该商品的法定所有权。</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③</w:t>
      </w:r>
      <w:r>
        <w:rPr>
          <w:rFonts w:ascii="宋体" w:hAnsi="宋体" w:eastAsia="宋体" w:cs="宋体"/>
          <w:sz w:val="18"/>
          <w:szCs w:val="18"/>
        </w:rPr>
        <w:t>企业已将该商品实物转移给客户，即客户已实物占有该商品。</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④</w:t>
      </w:r>
      <w:r>
        <w:rPr>
          <w:rFonts w:ascii="宋体" w:hAnsi="宋体" w:eastAsia="宋体" w:cs="宋体"/>
          <w:sz w:val="18"/>
          <w:szCs w:val="18"/>
        </w:rPr>
        <w:t>企业已将该商品所有权上的主要风险和报酬转移给客户，即客户已取得该商品所有权上的主要风险和报酬。</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⑤</w:t>
      </w:r>
      <w:r>
        <w:rPr>
          <w:rFonts w:ascii="宋体" w:hAnsi="宋体" w:eastAsia="宋体" w:cs="宋体"/>
          <w:sz w:val="18"/>
          <w:szCs w:val="18"/>
        </w:rPr>
        <w:t>客户已接受该商品。</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⑥</w:t>
      </w:r>
      <w:r>
        <w:rPr>
          <w:rFonts w:ascii="宋体" w:hAnsi="宋体" w:eastAsia="宋体" w:cs="宋体"/>
          <w:sz w:val="18"/>
          <w:szCs w:val="18"/>
        </w:rPr>
        <w:t>其他表明客户已取得商品控制权的迹象。</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同类业务因采用不同经营模式导致收入确认会计政策存在差异的情况的，应当分别披露。</w:t>
      </w:r>
    </w:p>
    <w:p>
      <w:pPr>
        <w:spacing w:before="40" w:after="40"/>
        <w:ind w:firstLine="360" w:firstLineChars="200"/>
        <w:rPr>
          <w:rFonts w:ascii="宋体" w:hAnsi="宋体" w:eastAsia="宋体" w:cs="宋体"/>
          <w:sz w:val="18"/>
          <w:szCs w:val="18"/>
        </w:rPr>
      </w:pPr>
      <w:r>
        <w:rPr>
          <w:rFonts w:ascii="宋体" w:hAnsi="宋体" w:eastAsia="宋体" w:cs="宋体"/>
          <w:sz w:val="18"/>
          <w:szCs w:val="18"/>
        </w:rPr>
        <w:t>2、公司收入确认的具体原则与方法</w:t>
      </w:r>
    </w:p>
    <w:p>
      <w:pPr>
        <w:spacing w:before="40" w:after="40"/>
        <w:ind w:firstLine="360" w:firstLineChars="200"/>
        <w:rPr>
          <w:rFonts w:ascii="宋体" w:hAnsi="宋体" w:eastAsia="宋体" w:cs="宋体"/>
          <w:sz w:val="18"/>
          <w:szCs w:val="18"/>
        </w:rPr>
      </w:pPr>
      <w:bookmarkStart w:id="205" w:name="_Hlk130894459"/>
      <w:r>
        <w:rPr>
          <w:rFonts w:hint="eastAsia" w:ascii="宋体" w:hAnsi="宋体" w:eastAsia="宋体" w:cs="宋体"/>
          <w:sz w:val="18"/>
          <w:szCs w:val="18"/>
        </w:rPr>
        <w:t>公司主要从事智能水表的生产销售、稀土氧化物资源的综合回收利用业务，公司收入确认的具体方法如下：</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①</w:t>
      </w:r>
      <w:r>
        <w:rPr>
          <w:rFonts w:ascii="宋体" w:hAnsi="宋体" w:eastAsia="宋体" w:cs="宋体"/>
          <w:sz w:val="18"/>
          <w:szCs w:val="18"/>
        </w:rPr>
        <w:t>国内销售，于商品发出、取得商品控制权转移的相关凭据、并确定相关货款能收回时确认收入；</w:t>
      </w:r>
    </w:p>
    <w:p>
      <w:pPr>
        <w:spacing w:before="40" w:after="40"/>
        <w:ind w:firstLine="360" w:firstLineChars="200"/>
        <w:rPr>
          <w:rFonts w:ascii="宋体" w:hAnsi="宋体" w:eastAsia="宋体" w:cs="宋体"/>
          <w:sz w:val="18"/>
          <w:szCs w:val="18"/>
        </w:rPr>
      </w:pPr>
      <w:r>
        <w:rPr>
          <w:rFonts w:hint="eastAsia" w:ascii="宋体" w:hAnsi="宋体" w:eastAsia="宋体" w:cs="宋体"/>
          <w:sz w:val="18"/>
          <w:szCs w:val="18"/>
        </w:rPr>
        <w:t>②</w:t>
      </w:r>
      <w:r>
        <w:rPr>
          <w:rFonts w:ascii="宋体" w:hAnsi="宋体" w:eastAsia="宋体" w:cs="宋体"/>
          <w:sz w:val="18"/>
          <w:szCs w:val="18"/>
        </w:rPr>
        <w:t>出口销售，于完成海关报关手续、并确定相关货款能收回时确认收入。</w:t>
      </w:r>
    </w:p>
    <w:bookmarkEnd w:id="205"/>
    <w:p>
      <w:pPr>
        <w:spacing w:before="100" w:after="100" w:line="240" w:lineRule="exact"/>
      </w:pPr>
      <w:r>
        <w:rPr>
          <w:rFonts w:ascii="宋体" w:hAnsi="宋体" w:eastAsia="宋体" w:cs="宋体"/>
          <w:sz w:val="18"/>
          <w:szCs w:val="18"/>
        </w:rPr>
        <w:t>同类业务采用不同经营模式导致收入确认会计政策存在差异的情况</w:t>
      </w:r>
    </w:p>
    <w:p>
      <w:pPr>
        <w:pStyle w:val="4"/>
        <w:spacing w:line="280" w:lineRule="exact"/>
        <w:jc w:val="left"/>
        <w:rPr>
          <w:rFonts w:ascii="宋体" w:hAnsi="宋体" w:cs="宋体"/>
          <w:b/>
          <w:bCs/>
        </w:rPr>
      </w:pPr>
      <w:bookmarkStart w:id="206" w:name="_Toc989088"/>
      <w:r>
        <w:rPr>
          <w:rFonts w:ascii="宋体" w:hAnsi="宋体" w:cs="宋体"/>
          <w:b/>
          <w:bCs/>
        </w:rPr>
        <w:t>32、政府补助</w:t>
      </w:r>
      <w:bookmarkEnd w:id="206"/>
    </w:p>
    <w:p>
      <w:pPr>
        <w:pStyle w:val="11"/>
        <w:spacing w:before="40" w:beforeAutospacing="0" w:after="40" w:afterAutospacing="0"/>
        <w:ind w:firstLine="360"/>
        <w:rPr>
          <w:rFonts w:ascii="等线" w:hAnsi="等线" w:eastAsia="等线"/>
          <w:sz w:val="21"/>
          <w:szCs w:val="21"/>
        </w:rPr>
      </w:pPr>
      <w:r>
        <w:rPr>
          <w:rFonts w:hint="eastAsia"/>
          <w:sz w:val="18"/>
          <w:szCs w:val="18"/>
        </w:rPr>
        <w:t>政府补助是指本公司从政府无偿取得货币性资产和非货币性资产，不包括政府以投资者身份并享有相应所有者权益而投入的资本。政府补助分为与资产相关的政府补助和与收益相关的政府补助。本公司将所取得的用于购建或以其他方式形成长期资产的政府补助界定为与资产相关的政府补助；其余政府补助界定为与收益相关的政府补助。若政府文件未明确规定补助对象，则采用以下方式将补助款划分为与收益相关的政府补助和与资产相关的政府补助：①政府文件明确了补助所针对的特定项目的，根据该特定项目的预算中将形成资产的支出金额和计入费用的支出金额的相对比例进行划分，对该划分比例需在每个资产负债表日进行复核，必要时进行变更；②政府文件中对用途仅作一般性表述，没有指明特定项目的，作为与收益相关的政府补助。政府补助为货币性资产的，按照收到或应收的金额计量。政府补助为非货币性资产的，按照公允价值计量；公允价值不能够可靠取得的，按照名义金额计量。按照名义金额计量的政府补助，直接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本公司对于政府补助通常在实际收到时，按照实收金额予以确认和计量。但对于期末有确凿证据表明能够符合财政扶持政策规定的相关条件预计能够收到财政扶持资金，按照应收的金额计量。按照应收金额计量的政府补助应同时符合以下条件：①应收补助款的金额已经过有权政府部门发文确认，或者可根据正式发布的财政资金管理办法的有关规定自行合理测算，且预计其金额不存在重大不确定性；②所依据的是当地财政部门正式发布并按照《政府信息公开条例》的规定予以主动公开的财政扶持项目及其财政资金管理办法，且该管理办法应当是普惠性的（任何符合规定条件的企业均可申请），而不是专门针对特定企业制定的；③相关的补助款批文中已明确承诺了拨付期限，且该款项的拨付是有相应财政预算作为保障的，因而可以合理保证其可在规定期限内收到；④根据本公司和该补助事项的具体情况，应满足的其他相关条件。</w:t>
      </w:r>
    </w:p>
    <w:p>
      <w:pPr>
        <w:pStyle w:val="11"/>
        <w:spacing w:before="40" w:beforeAutospacing="0" w:after="40" w:afterAutospacing="0"/>
        <w:ind w:firstLine="360"/>
        <w:rPr>
          <w:rFonts w:ascii="等线" w:hAnsi="等线" w:eastAsia="等线"/>
          <w:sz w:val="21"/>
          <w:szCs w:val="21"/>
        </w:rPr>
      </w:pPr>
      <w:r>
        <w:rPr>
          <w:rFonts w:hint="eastAsia"/>
          <w:sz w:val="18"/>
          <w:szCs w:val="18"/>
        </w:rPr>
        <w:t>与资产相关的政府补助，确认为递延收益，并在相关资产的使用寿命内按照合理、系统的方法分期计入当期损益或冲减相关资产的账面价值。与收益相关的政府补助，用于补偿以后期间的相关成本费用或损失的，确认为递延收益，并在确认相关成本费用或损失的期间计入当期损益或冲减相关成本费用；用于补偿已经发生的相关成本费用或损失的，直接计入当期损益或冲减相关成本费用。</w:t>
      </w:r>
    </w:p>
    <w:p>
      <w:pPr>
        <w:pStyle w:val="11"/>
        <w:spacing w:before="40" w:beforeAutospacing="0" w:after="40" w:afterAutospacing="0"/>
        <w:ind w:firstLine="360"/>
        <w:rPr>
          <w:rFonts w:ascii="等线" w:hAnsi="等线" w:eastAsia="等线"/>
          <w:sz w:val="21"/>
          <w:szCs w:val="21"/>
        </w:rPr>
      </w:pPr>
      <w:r>
        <w:rPr>
          <w:rFonts w:hint="eastAsia"/>
          <w:sz w:val="18"/>
          <w:szCs w:val="18"/>
        </w:rPr>
        <w:t>同时包含与资产相关部分和与收益相关部分的政府补助，区分不同部分分别进行会计处理；难以区分的，将其整体归类为与收益相关的政府补助。</w:t>
      </w:r>
    </w:p>
    <w:p>
      <w:pPr>
        <w:pStyle w:val="11"/>
        <w:spacing w:before="40" w:beforeAutospacing="0" w:after="40" w:afterAutospacing="0"/>
        <w:ind w:firstLine="360"/>
        <w:rPr>
          <w:rFonts w:ascii="等线" w:hAnsi="等线" w:eastAsia="等线"/>
          <w:sz w:val="21"/>
          <w:szCs w:val="21"/>
        </w:rPr>
      </w:pPr>
      <w:r>
        <w:rPr>
          <w:rFonts w:hint="eastAsia"/>
          <w:sz w:val="18"/>
          <w:szCs w:val="18"/>
        </w:rPr>
        <w:t>与本公司日常活动相关的政府补助，按照经济业务的实质，计入其他收益或冲减相关成本费用；与日常活动无关的政府补助，计入营业外收支。</w:t>
      </w:r>
    </w:p>
    <w:p>
      <w:pPr>
        <w:pStyle w:val="11"/>
        <w:spacing w:before="40" w:beforeAutospacing="0" w:after="40" w:afterAutospacing="0"/>
        <w:ind w:firstLine="360"/>
        <w:rPr>
          <w:rFonts w:ascii="等线" w:hAnsi="等线" w:eastAsia="等线"/>
          <w:sz w:val="21"/>
          <w:szCs w:val="21"/>
        </w:rPr>
      </w:pPr>
      <w:r>
        <w:rPr>
          <w:rFonts w:hint="eastAsia"/>
          <w:sz w:val="18"/>
          <w:szCs w:val="18"/>
        </w:rPr>
        <w:t>已确认的政府补助需要退回时，存在相关递延收益余额的，冲减相关递延收益账面余额，超出部分计入当期损益；属于其他情况的，直接计入当期损益。</w:t>
      </w:r>
    </w:p>
    <w:p>
      <w:pPr>
        <w:pStyle w:val="4"/>
        <w:spacing w:line="280" w:lineRule="exact"/>
        <w:jc w:val="left"/>
        <w:rPr>
          <w:rFonts w:ascii="宋体" w:hAnsi="宋体" w:cs="宋体"/>
          <w:b/>
          <w:bCs/>
        </w:rPr>
      </w:pPr>
      <w:bookmarkStart w:id="207" w:name="_Toc989089"/>
      <w:r>
        <w:rPr>
          <w:rFonts w:ascii="宋体" w:hAnsi="宋体" w:cs="宋体"/>
          <w:b/>
          <w:bCs/>
        </w:rPr>
        <w:t>33、递延所得税资产/递延所得税负债</w:t>
      </w:r>
      <w:bookmarkEnd w:id="207"/>
    </w:p>
    <w:p>
      <w:pPr>
        <w:pStyle w:val="11"/>
        <w:spacing w:before="40" w:beforeAutospacing="0" w:after="40" w:afterAutospacing="0"/>
        <w:ind w:firstLine="360"/>
        <w:rPr>
          <w:rFonts w:ascii="等线" w:hAnsi="等线" w:eastAsia="等线"/>
          <w:sz w:val="21"/>
          <w:szCs w:val="21"/>
        </w:rPr>
      </w:pPr>
      <w:r>
        <w:rPr>
          <w:rFonts w:hint="eastAsia"/>
          <w:sz w:val="18"/>
          <w:szCs w:val="18"/>
        </w:rPr>
        <w:t>1、当期所得税</w:t>
      </w:r>
    </w:p>
    <w:p>
      <w:pPr>
        <w:pStyle w:val="11"/>
        <w:spacing w:before="40" w:beforeAutospacing="0" w:after="40" w:afterAutospacing="0"/>
        <w:ind w:firstLine="360"/>
        <w:rPr>
          <w:rFonts w:ascii="等线" w:hAnsi="等线" w:eastAsia="等线"/>
          <w:sz w:val="21"/>
          <w:szCs w:val="21"/>
        </w:rPr>
      </w:pPr>
      <w:r>
        <w:rPr>
          <w:rFonts w:hint="eastAsia"/>
          <w:sz w:val="18"/>
          <w:szCs w:val="18"/>
        </w:rPr>
        <w:t>资产负债表日，对于当期和以前期间形成的当期所得税负债（或资产），以按照税法规定计算的预期应交纳（或返还）的所得税金额计量。计算当期所得税费用所依据的应纳税所得额系根据有关税法规定对本年度税前会计利润作相应调整后计算得出。</w:t>
      </w:r>
    </w:p>
    <w:p>
      <w:pPr>
        <w:pStyle w:val="11"/>
        <w:spacing w:before="40" w:beforeAutospacing="0" w:after="40" w:afterAutospacing="0"/>
        <w:ind w:firstLine="360"/>
        <w:rPr>
          <w:rFonts w:ascii="等线" w:hAnsi="等线" w:eastAsia="等线"/>
          <w:sz w:val="21"/>
          <w:szCs w:val="21"/>
        </w:rPr>
      </w:pPr>
      <w:r>
        <w:rPr>
          <w:rFonts w:hint="eastAsia"/>
          <w:sz w:val="18"/>
          <w:szCs w:val="18"/>
        </w:rPr>
        <w:t>2、递延所得税资产及递延所得税负债</w:t>
      </w:r>
    </w:p>
    <w:p>
      <w:pPr>
        <w:pStyle w:val="11"/>
        <w:spacing w:before="40" w:beforeAutospacing="0" w:after="40" w:afterAutospacing="0"/>
        <w:ind w:firstLine="360"/>
        <w:rPr>
          <w:rFonts w:ascii="等线" w:hAnsi="等线" w:eastAsia="等线"/>
          <w:sz w:val="21"/>
          <w:szCs w:val="21"/>
        </w:rPr>
      </w:pPr>
      <w:r>
        <w:rPr>
          <w:rFonts w:hint="eastAsia"/>
          <w:sz w:val="18"/>
          <w:szCs w:val="18"/>
        </w:rPr>
        <w:t>某些资产、负债项目的账面价值与其计税基础之间的差额，以及未作为资产和负债确认但按照税法规定可以确定其计税基础的项目的账面价值与计税基础之间的差额产生的暂时性差异，采用资产负债表债务法确认递延所得税资产及递延所得税负债。</w:t>
      </w:r>
    </w:p>
    <w:p>
      <w:pPr>
        <w:pStyle w:val="11"/>
        <w:spacing w:before="40" w:beforeAutospacing="0" w:after="40" w:afterAutospacing="0"/>
        <w:ind w:firstLine="360"/>
        <w:rPr>
          <w:rFonts w:ascii="等线" w:hAnsi="等线" w:eastAsia="等线"/>
          <w:sz w:val="21"/>
          <w:szCs w:val="21"/>
        </w:rPr>
      </w:pPr>
      <w:r>
        <w:rPr>
          <w:rFonts w:hint="eastAsia"/>
          <w:sz w:val="18"/>
          <w:szCs w:val="18"/>
        </w:rPr>
        <w:t>与商誉的初始确认有关，以及与既不是企业合并、发生时也不影响会计利润和应纳税所得额（或可抵扣亏损）的交易中产生的资产或负债的初始确认有关的应纳税暂时性差异，不予确认有关的递延所得税负债。此外，对与子公司、联营企业及合营企业投资相关的应纳税暂时性差异，如果本公司能够控制暂时性差异转回的时间，而且该暂时性差异在可预见的未来很可能不会转回，也不予确认有关的递延所得税负债。除上述例外情况，本公司确认其他所有应纳税暂时性差异产生的递延所得税负债。</w:t>
      </w:r>
    </w:p>
    <w:p>
      <w:pPr>
        <w:pStyle w:val="11"/>
        <w:spacing w:before="40" w:beforeAutospacing="0" w:after="40" w:afterAutospacing="0"/>
        <w:ind w:firstLine="360"/>
        <w:rPr>
          <w:rFonts w:ascii="等线" w:hAnsi="等线" w:eastAsia="等线"/>
          <w:sz w:val="21"/>
          <w:szCs w:val="21"/>
        </w:rPr>
      </w:pPr>
      <w:r>
        <w:rPr>
          <w:rFonts w:hint="eastAsia"/>
          <w:sz w:val="18"/>
          <w:szCs w:val="18"/>
        </w:rPr>
        <w:t>与既不是企业合并、发生时也不影响会计利润和应纳税所得额（或可抵扣亏损）的交易中产生的资产或负债的初始确认有关的可抵扣暂时性差异，不予确认有关的递延所得税资产。此外，对与子公司、联营企业及合营企业投资相关的可抵扣暂时性差异，如果暂时性差异在可预见的未来不是很可能转回，或者未来不是很可能获得用来抵扣可抵扣暂时性差异的应纳税所得额，不予确认有关的递延所得税资产。除上述例外情况，本公司以很可能取得用来抵扣可抵扣暂时性差异的应纳税所得额为限，确认其他可抵扣暂时性差异产生的递延所得税资产。</w:t>
      </w:r>
    </w:p>
    <w:p>
      <w:pPr>
        <w:pStyle w:val="11"/>
        <w:spacing w:before="40" w:beforeAutospacing="0" w:after="40" w:afterAutospacing="0"/>
        <w:ind w:firstLine="360"/>
        <w:rPr>
          <w:rFonts w:ascii="等线" w:hAnsi="等线" w:eastAsia="等线"/>
          <w:sz w:val="21"/>
          <w:szCs w:val="21"/>
        </w:rPr>
      </w:pPr>
      <w:r>
        <w:rPr>
          <w:rFonts w:hint="eastAsia"/>
          <w:sz w:val="18"/>
          <w:szCs w:val="18"/>
        </w:rPr>
        <w:t>对于能够结转以后年度的可抵扣亏损和税款抵减，以很可能获得用来抵扣可抵扣亏损和税款抵减的未来应纳税所得额为限，确认相应的递延所得税资产。</w:t>
      </w:r>
    </w:p>
    <w:p>
      <w:pPr>
        <w:pStyle w:val="11"/>
        <w:spacing w:before="40" w:beforeAutospacing="0" w:after="40" w:afterAutospacing="0"/>
        <w:ind w:firstLine="360"/>
        <w:rPr>
          <w:rFonts w:ascii="等线" w:hAnsi="等线" w:eastAsia="等线"/>
          <w:sz w:val="21"/>
          <w:szCs w:val="21"/>
        </w:rPr>
      </w:pPr>
      <w:r>
        <w:rPr>
          <w:rFonts w:hint="eastAsia"/>
          <w:sz w:val="18"/>
          <w:szCs w:val="18"/>
        </w:rPr>
        <w:t>资产负债表日，对于递延所得税资产和递延所得税负债，根据税法规定，按照预期收回相关资产或清偿相关负债期间的适用税率计量。</w:t>
      </w:r>
    </w:p>
    <w:p>
      <w:pPr>
        <w:pStyle w:val="11"/>
        <w:spacing w:before="40" w:beforeAutospacing="0" w:after="40" w:afterAutospacing="0"/>
        <w:ind w:firstLine="360"/>
        <w:rPr>
          <w:rFonts w:ascii="等线" w:hAnsi="等线" w:eastAsia="等线"/>
          <w:sz w:val="21"/>
          <w:szCs w:val="21"/>
        </w:rPr>
      </w:pPr>
      <w:r>
        <w:rPr>
          <w:rFonts w:hint="eastAsia"/>
          <w:sz w:val="18"/>
          <w:szCs w:val="18"/>
        </w:rPr>
        <w:t>于资产负债表日，对递延所得税资产的账面价值进行复核，如果未来很可能无法获得足够的应纳税所得额用以抵扣递延所得税资产的利益，则减记递延所得税资产的账面价值。在很可能获得足够的应纳税所得额时，减记的金额予以转回。</w:t>
      </w:r>
    </w:p>
    <w:p>
      <w:pPr>
        <w:pStyle w:val="11"/>
        <w:spacing w:before="40" w:beforeAutospacing="0" w:after="40" w:afterAutospacing="0"/>
        <w:ind w:firstLine="360"/>
        <w:rPr>
          <w:rFonts w:ascii="等线" w:hAnsi="等线" w:eastAsia="等线"/>
          <w:sz w:val="21"/>
          <w:szCs w:val="21"/>
        </w:rPr>
      </w:pPr>
      <w:r>
        <w:rPr>
          <w:rFonts w:hint="eastAsia"/>
          <w:sz w:val="18"/>
          <w:szCs w:val="18"/>
        </w:rPr>
        <w:t>3、所得税费用</w:t>
      </w:r>
    </w:p>
    <w:p>
      <w:pPr>
        <w:pStyle w:val="11"/>
        <w:spacing w:before="40" w:beforeAutospacing="0" w:after="40" w:afterAutospacing="0"/>
        <w:ind w:firstLine="360"/>
        <w:rPr>
          <w:rFonts w:ascii="等线" w:hAnsi="等线" w:eastAsia="等线"/>
          <w:sz w:val="21"/>
          <w:szCs w:val="21"/>
        </w:rPr>
      </w:pPr>
      <w:r>
        <w:rPr>
          <w:rFonts w:hint="eastAsia"/>
          <w:sz w:val="18"/>
          <w:szCs w:val="18"/>
        </w:rPr>
        <w:t>所得税费用包括当期所得税和递延所得税。</w:t>
      </w:r>
    </w:p>
    <w:p>
      <w:pPr>
        <w:pStyle w:val="11"/>
        <w:spacing w:before="40" w:beforeAutospacing="0" w:after="40" w:afterAutospacing="0"/>
        <w:ind w:firstLine="360"/>
        <w:rPr>
          <w:rFonts w:ascii="等线" w:hAnsi="等线" w:eastAsia="等线"/>
          <w:sz w:val="21"/>
          <w:szCs w:val="21"/>
        </w:rPr>
      </w:pPr>
      <w:r>
        <w:rPr>
          <w:rFonts w:hint="eastAsia"/>
          <w:sz w:val="18"/>
          <w:szCs w:val="18"/>
        </w:rPr>
        <w:t>除确认为其他综合收益或直接计入股东权益的交易和事项相关的当期所得税和递延所得税计入其他综合收益或股东权益，以及企业合并产生的递延所得税调整商誉的账面价值外，其余当期所得税和递延所得税费用或收益计入当期损益。</w:t>
      </w:r>
    </w:p>
    <w:p>
      <w:pPr>
        <w:pStyle w:val="11"/>
        <w:spacing w:before="40" w:beforeAutospacing="0" w:after="40" w:afterAutospacing="0"/>
        <w:ind w:firstLine="360"/>
        <w:rPr>
          <w:rFonts w:ascii="等线" w:hAnsi="等线" w:eastAsia="等线"/>
          <w:sz w:val="21"/>
          <w:szCs w:val="21"/>
        </w:rPr>
      </w:pPr>
      <w:r>
        <w:rPr>
          <w:rFonts w:hint="eastAsia"/>
          <w:sz w:val="18"/>
          <w:szCs w:val="18"/>
        </w:rPr>
        <w:t>4、所得税的抵销</w:t>
      </w:r>
    </w:p>
    <w:p>
      <w:pPr>
        <w:pStyle w:val="11"/>
        <w:spacing w:before="40" w:beforeAutospacing="0" w:after="40" w:afterAutospacing="0"/>
        <w:ind w:firstLine="360"/>
        <w:rPr>
          <w:rFonts w:ascii="等线" w:hAnsi="等线" w:eastAsia="等线"/>
          <w:sz w:val="21"/>
          <w:szCs w:val="21"/>
        </w:rPr>
      </w:pPr>
      <w:r>
        <w:rPr>
          <w:rFonts w:hint="eastAsia"/>
          <w:sz w:val="18"/>
          <w:szCs w:val="18"/>
        </w:rPr>
        <w:t>当拥有以净额结算的法定权利，且意图以净额结算或取得资产、清偿负债同时进行时，本公司当期所得税资产及当期所得税负债以抵销后的净额列报。</w:t>
      </w:r>
    </w:p>
    <w:p>
      <w:pPr>
        <w:pStyle w:val="11"/>
        <w:spacing w:before="40" w:beforeAutospacing="0" w:after="40" w:afterAutospacing="0"/>
        <w:ind w:firstLine="360"/>
        <w:rPr>
          <w:rFonts w:ascii="等线" w:hAnsi="等线" w:eastAsia="等线"/>
          <w:sz w:val="21"/>
          <w:szCs w:val="21"/>
        </w:rPr>
      </w:pPr>
      <w:r>
        <w:rPr>
          <w:rFonts w:hint="eastAsia"/>
          <w:sz w:val="18"/>
          <w:szCs w:val="18"/>
        </w:rPr>
        <w:t>当拥有以净额结算当期所得税资产及当期所得税负债的法定权利，且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本公司递延所得税资产及递延所得税负债以抵销后的净额列报。</w:t>
      </w:r>
    </w:p>
    <w:p>
      <w:pPr>
        <w:pStyle w:val="4"/>
        <w:spacing w:line="280" w:lineRule="exact"/>
        <w:jc w:val="left"/>
        <w:rPr>
          <w:rFonts w:ascii="宋体" w:hAnsi="宋体" w:cs="宋体"/>
          <w:b/>
          <w:bCs/>
        </w:rPr>
      </w:pPr>
      <w:bookmarkStart w:id="208" w:name="_Toc989090"/>
      <w:r>
        <w:rPr>
          <w:rFonts w:ascii="宋体" w:hAnsi="宋体" w:cs="宋体"/>
          <w:b/>
          <w:bCs/>
        </w:rPr>
        <w:t>34、租赁</w:t>
      </w:r>
      <w:bookmarkEnd w:id="208"/>
    </w:p>
    <w:p>
      <w:pPr>
        <w:keepNext/>
        <w:keepLines/>
        <w:spacing w:before="300" w:after="300" w:line="280" w:lineRule="exact"/>
        <w:outlineLvl w:val="3"/>
        <w:rPr>
          <w:rFonts w:ascii="宋体" w:hAnsi="宋体" w:eastAsia="宋体" w:cs="宋体"/>
          <w:b/>
          <w:bCs/>
          <w:szCs w:val="21"/>
        </w:rPr>
      </w:pPr>
      <w:bookmarkStart w:id="209" w:name="_Toc989091"/>
      <w:r>
        <w:rPr>
          <w:rFonts w:ascii="宋体" w:hAnsi="宋体" w:eastAsia="宋体" w:cs="宋体"/>
          <w:b/>
          <w:bCs/>
          <w:szCs w:val="21"/>
        </w:rPr>
        <w:t>（1） 经营租赁的会计处理方法</w:t>
      </w:r>
      <w:bookmarkEnd w:id="209"/>
    </w:p>
    <w:p>
      <w:pPr>
        <w:pStyle w:val="11"/>
        <w:spacing w:before="40" w:beforeAutospacing="0" w:after="40" w:afterAutospacing="0"/>
        <w:ind w:firstLine="360"/>
        <w:rPr>
          <w:rFonts w:ascii="等线" w:hAnsi="等线" w:eastAsia="等线"/>
          <w:sz w:val="21"/>
          <w:szCs w:val="21"/>
        </w:rPr>
      </w:pPr>
      <w:r>
        <w:rPr>
          <w:rFonts w:hint="eastAsia"/>
          <w:sz w:val="18"/>
          <w:szCs w:val="18"/>
        </w:rPr>
        <w:t>租赁，是指在一定期间内，出租人将资产的使用权让与承租人以获取对价的合同。</w:t>
      </w:r>
    </w:p>
    <w:p>
      <w:pPr>
        <w:pStyle w:val="11"/>
        <w:spacing w:before="40" w:beforeAutospacing="0" w:after="40" w:afterAutospacing="0"/>
        <w:ind w:firstLine="360"/>
        <w:rPr>
          <w:rFonts w:ascii="等线" w:hAnsi="等线" w:eastAsia="等线"/>
          <w:sz w:val="21"/>
          <w:szCs w:val="21"/>
        </w:rPr>
      </w:pPr>
      <w:r>
        <w:rPr>
          <w:rFonts w:hint="eastAsia"/>
          <w:sz w:val="18"/>
          <w:szCs w:val="18"/>
        </w:rPr>
        <w:t>在合同开始日，本公司评估合同是否为租赁或者包含租赁。如果合同中一方让渡了在一定期间内控制一项或多项已识别资产使用的权利以换取对价，则该合同为租赁或者包含租赁。</w:t>
      </w:r>
    </w:p>
    <w:p>
      <w:pPr>
        <w:pStyle w:val="11"/>
        <w:spacing w:before="40" w:beforeAutospacing="0" w:after="40" w:afterAutospacing="0"/>
        <w:ind w:firstLine="360"/>
        <w:rPr>
          <w:rFonts w:ascii="等线" w:hAnsi="等线" w:eastAsia="等线"/>
          <w:sz w:val="21"/>
          <w:szCs w:val="21"/>
        </w:rPr>
      </w:pPr>
      <w:r>
        <w:rPr>
          <w:rFonts w:hint="eastAsia"/>
          <w:sz w:val="18"/>
          <w:szCs w:val="18"/>
        </w:rPr>
        <w:t>合同中同时包含多项单独租赁的，承租人和出租人将合同予以分拆，并分别各项单独租赁进行会计处理。合同中同时包含租赁和非租赁部分的，承租人和出租人将租赁和非租赁部分进行分拆。</w:t>
      </w:r>
    </w:p>
    <w:p>
      <w:pPr>
        <w:pStyle w:val="11"/>
        <w:spacing w:before="40" w:beforeAutospacing="0" w:after="40" w:afterAutospacing="0"/>
        <w:ind w:firstLine="360"/>
        <w:rPr>
          <w:rFonts w:ascii="等线" w:hAnsi="等线" w:eastAsia="等线"/>
          <w:sz w:val="21"/>
          <w:szCs w:val="21"/>
        </w:rPr>
      </w:pPr>
      <w:r>
        <w:rPr>
          <w:rFonts w:hint="eastAsia"/>
          <w:sz w:val="18"/>
          <w:szCs w:val="18"/>
        </w:rPr>
        <w:t>（1）承租人会计处理</w:t>
      </w:r>
    </w:p>
    <w:p>
      <w:pPr>
        <w:pStyle w:val="11"/>
        <w:spacing w:before="40" w:beforeAutospacing="0" w:after="40" w:afterAutospacing="0"/>
        <w:ind w:firstLine="360"/>
        <w:rPr>
          <w:rFonts w:ascii="等线" w:hAnsi="等线" w:eastAsia="等线"/>
          <w:sz w:val="21"/>
          <w:szCs w:val="21"/>
        </w:rPr>
      </w:pPr>
      <w:r>
        <w:rPr>
          <w:rFonts w:hint="eastAsia"/>
          <w:sz w:val="18"/>
          <w:szCs w:val="18"/>
        </w:rPr>
        <w:t>①使用权资产</w:t>
      </w:r>
    </w:p>
    <w:p>
      <w:pPr>
        <w:pStyle w:val="11"/>
        <w:spacing w:before="40" w:beforeAutospacing="0" w:after="40" w:afterAutospacing="0"/>
        <w:ind w:firstLine="360"/>
        <w:rPr>
          <w:rFonts w:ascii="等线" w:hAnsi="等线" w:eastAsia="等线"/>
          <w:sz w:val="21"/>
          <w:szCs w:val="21"/>
        </w:rPr>
      </w:pPr>
      <w:r>
        <w:rPr>
          <w:rFonts w:hint="eastAsia"/>
          <w:sz w:val="18"/>
          <w:szCs w:val="18"/>
        </w:rPr>
        <w:t>见“附注五、22。</w:t>
      </w:r>
    </w:p>
    <w:p>
      <w:pPr>
        <w:pStyle w:val="11"/>
        <w:spacing w:before="40" w:beforeAutospacing="0" w:after="40" w:afterAutospacing="0"/>
        <w:ind w:firstLine="360"/>
        <w:rPr>
          <w:rFonts w:ascii="等线" w:hAnsi="等线" w:eastAsia="等线"/>
          <w:sz w:val="21"/>
          <w:szCs w:val="21"/>
        </w:rPr>
      </w:pPr>
      <w:r>
        <w:rPr>
          <w:rFonts w:hint="eastAsia"/>
          <w:sz w:val="18"/>
          <w:szCs w:val="18"/>
        </w:rPr>
        <w:t>②租赁负债</w:t>
      </w:r>
    </w:p>
    <w:p>
      <w:pPr>
        <w:pStyle w:val="11"/>
        <w:spacing w:before="40" w:beforeAutospacing="0" w:after="40" w:afterAutospacing="0"/>
        <w:ind w:firstLine="360"/>
        <w:rPr>
          <w:rFonts w:ascii="等线" w:hAnsi="等线" w:eastAsia="等线"/>
          <w:sz w:val="21"/>
          <w:szCs w:val="21"/>
        </w:rPr>
      </w:pPr>
      <w:r>
        <w:rPr>
          <w:rFonts w:hint="eastAsia"/>
          <w:sz w:val="18"/>
          <w:szCs w:val="18"/>
        </w:rPr>
        <w:t>见“附注五、28。</w:t>
      </w:r>
    </w:p>
    <w:p>
      <w:pPr>
        <w:pStyle w:val="11"/>
        <w:spacing w:before="40" w:beforeAutospacing="0" w:after="40" w:afterAutospacing="0"/>
        <w:ind w:firstLine="360"/>
        <w:rPr>
          <w:rFonts w:ascii="等线" w:hAnsi="等线" w:eastAsia="等线"/>
          <w:sz w:val="21"/>
          <w:szCs w:val="21"/>
        </w:rPr>
      </w:pPr>
      <w:r>
        <w:rPr>
          <w:rFonts w:hint="eastAsia"/>
          <w:sz w:val="18"/>
          <w:szCs w:val="18"/>
        </w:rPr>
        <w:t>③短期租赁和低价值资产租赁</w:t>
      </w:r>
    </w:p>
    <w:p>
      <w:pPr>
        <w:pStyle w:val="11"/>
        <w:spacing w:before="40" w:beforeAutospacing="0" w:after="40" w:afterAutospacing="0"/>
        <w:ind w:firstLine="360"/>
        <w:rPr>
          <w:rFonts w:ascii="等线" w:hAnsi="等线" w:eastAsia="等线"/>
          <w:sz w:val="21"/>
          <w:szCs w:val="21"/>
        </w:rPr>
      </w:pPr>
      <w:r>
        <w:rPr>
          <w:rFonts w:hint="eastAsia"/>
          <w:sz w:val="18"/>
          <w:szCs w:val="18"/>
        </w:rPr>
        <w:t>本公司选择对短期租赁和低价值资产租赁不确认使用权资产和租赁负债，并将相关的租赁付款额在租赁期内各个期间按照直线法计入当期损益或相关资产成本。</w:t>
      </w:r>
    </w:p>
    <w:p>
      <w:pPr>
        <w:pStyle w:val="11"/>
        <w:spacing w:before="40" w:beforeAutospacing="0" w:after="40" w:afterAutospacing="0"/>
        <w:ind w:firstLine="360"/>
        <w:rPr>
          <w:rFonts w:ascii="等线" w:hAnsi="等线" w:eastAsia="等线"/>
          <w:sz w:val="21"/>
          <w:szCs w:val="21"/>
        </w:rPr>
      </w:pPr>
      <w:r>
        <w:rPr>
          <w:rFonts w:hint="eastAsia"/>
          <w:sz w:val="18"/>
          <w:szCs w:val="18"/>
        </w:rPr>
        <w:t>短期租赁，是指在租赁期开始日，租赁期不超过12个月且不包含购买选择权的租赁。低价值资产租赁，是指单项租赁资产为全新资产时价值较低的租赁。公司转租或预期转租租赁资产的，原租赁不属于低价值资产租赁。</w:t>
      </w:r>
    </w:p>
    <w:p>
      <w:pPr>
        <w:pStyle w:val="11"/>
        <w:spacing w:before="40" w:beforeAutospacing="0" w:after="40" w:afterAutospacing="0"/>
        <w:ind w:firstLine="360"/>
        <w:rPr>
          <w:rFonts w:ascii="等线" w:hAnsi="等线" w:eastAsia="等线"/>
          <w:sz w:val="21"/>
          <w:szCs w:val="21"/>
        </w:rPr>
      </w:pPr>
      <w:r>
        <w:rPr>
          <w:rFonts w:hint="eastAsia"/>
          <w:sz w:val="18"/>
          <w:szCs w:val="18"/>
        </w:rPr>
        <w:t>④租赁变更</w:t>
      </w:r>
    </w:p>
    <w:p>
      <w:pPr>
        <w:pStyle w:val="11"/>
        <w:spacing w:before="40" w:beforeAutospacing="0" w:after="40" w:afterAutospacing="0"/>
        <w:ind w:firstLine="360"/>
        <w:rPr>
          <w:rFonts w:ascii="等线" w:hAnsi="等线" w:eastAsia="等线"/>
          <w:sz w:val="21"/>
          <w:szCs w:val="21"/>
        </w:rPr>
      </w:pPr>
      <w:r>
        <w:rPr>
          <w:rFonts w:hint="eastAsia"/>
          <w:sz w:val="18"/>
          <w:szCs w:val="18"/>
        </w:rPr>
        <w:t>租赁发生变更且同时符合下列条件的，公司将该租赁变更作为一项单独租赁进行会计处理：该租赁变更通过增加一项或多项租赁资产的使用权而扩大了租赁范围；增加的对价与租赁范围扩大部分的单独价格按该合同情况调整后的金额相当。租赁变更未作为一项单独租赁进行会计处理的，在租赁变更生效日，公司重新分摊变更后合同的对价，重新确定租赁期，并按照变更后租赁付款额和修订后的折现率计算的现值重新计量租赁负债。</w:t>
      </w:r>
    </w:p>
    <w:p>
      <w:pPr>
        <w:pStyle w:val="11"/>
        <w:spacing w:before="40" w:beforeAutospacing="0" w:after="40" w:afterAutospacing="0"/>
        <w:ind w:firstLine="360"/>
        <w:rPr>
          <w:rFonts w:ascii="等线" w:hAnsi="等线" w:eastAsia="等线"/>
          <w:sz w:val="21"/>
          <w:szCs w:val="21"/>
        </w:rPr>
      </w:pPr>
      <w:r>
        <w:rPr>
          <w:rFonts w:hint="eastAsia"/>
          <w:sz w:val="18"/>
          <w:szCs w:val="18"/>
        </w:rPr>
        <w:t>（2）出租人会计处理</w:t>
      </w:r>
    </w:p>
    <w:p>
      <w:pPr>
        <w:pStyle w:val="11"/>
        <w:spacing w:before="40" w:beforeAutospacing="0" w:after="40" w:afterAutospacing="0"/>
        <w:ind w:firstLine="360"/>
        <w:rPr>
          <w:rFonts w:ascii="等线" w:hAnsi="等线" w:eastAsia="等线"/>
          <w:sz w:val="21"/>
          <w:szCs w:val="21"/>
        </w:rPr>
      </w:pPr>
      <w:r>
        <w:rPr>
          <w:rFonts w:hint="eastAsia"/>
          <w:sz w:val="18"/>
          <w:szCs w:val="18"/>
        </w:rPr>
        <w:t>在租赁开始日，本公司将租赁分为融资租赁和经营租赁。融资租赁，是指无论所有权最终是否转移，但实质上转移了与租赁资产所有权有关的几乎全部风险和报酬的租赁。经营租赁，是指除融资租赁以外的其他租赁。</w:t>
      </w:r>
    </w:p>
    <w:p>
      <w:pPr>
        <w:pStyle w:val="11"/>
        <w:spacing w:before="40" w:beforeAutospacing="0" w:after="40" w:afterAutospacing="0"/>
        <w:ind w:firstLine="360"/>
        <w:rPr>
          <w:rFonts w:ascii="等线" w:hAnsi="等线" w:eastAsia="等线"/>
          <w:sz w:val="21"/>
          <w:szCs w:val="21"/>
        </w:rPr>
      </w:pPr>
      <w:r>
        <w:rPr>
          <w:rFonts w:hint="eastAsia"/>
          <w:sz w:val="18"/>
          <w:szCs w:val="18"/>
        </w:rPr>
        <w:t>本公司作为转租出租人时，基于原租赁产生的使用权资产对转租赁进行分类。如果原租赁为短期租赁且本公司选择对原租赁不确认使用权资产和租赁负债，本公司将该转租赁分类为经营租赁。</w:t>
      </w:r>
    </w:p>
    <w:p>
      <w:pPr>
        <w:pStyle w:val="11"/>
        <w:spacing w:before="40" w:beforeAutospacing="0" w:after="40" w:afterAutospacing="0"/>
        <w:ind w:firstLine="360"/>
        <w:rPr>
          <w:rFonts w:ascii="等线" w:hAnsi="等线" w:eastAsia="等线"/>
          <w:sz w:val="21"/>
          <w:szCs w:val="21"/>
        </w:rPr>
      </w:pPr>
      <w:r>
        <w:rPr>
          <w:rFonts w:hint="eastAsia"/>
          <w:sz w:val="18"/>
          <w:szCs w:val="18"/>
        </w:rPr>
        <w:t>经营租赁会计处理</w:t>
      </w:r>
    </w:p>
    <w:p>
      <w:pPr>
        <w:pStyle w:val="11"/>
        <w:spacing w:before="40" w:beforeAutospacing="0" w:after="40" w:afterAutospacing="0"/>
        <w:ind w:firstLine="360"/>
        <w:rPr>
          <w:rFonts w:ascii="等线" w:hAnsi="等线" w:eastAsia="等线"/>
          <w:sz w:val="21"/>
          <w:szCs w:val="21"/>
        </w:rPr>
      </w:pPr>
      <w:r>
        <w:rPr>
          <w:rFonts w:hint="eastAsia"/>
          <w:sz w:val="18"/>
          <w:szCs w:val="18"/>
        </w:rPr>
        <w:t>经营租赁的租赁收款额在租赁期内各个期间按照直线法确认为租金收入。本公司将发生的与经营租赁有关的初始直接费用予以资本化，在租赁期内按照与租金收入确认相同的基础分摊计入当期损益。未计入租赁收款额的可变租赁付款额在实际发生时计入当期损益。</w:t>
      </w:r>
    </w:p>
    <w:p>
      <w:pPr>
        <w:keepNext/>
        <w:keepLines/>
        <w:spacing w:before="300" w:after="300" w:line="280" w:lineRule="exact"/>
        <w:outlineLvl w:val="3"/>
        <w:rPr>
          <w:rFonts w:ascii="宋体" w:hAnsi="宋体" w:eastAsia="宋体" w:cs="宋体"/>
          <w:b/>
          <w:bCs/>
          <w:szCs w:val="21"/>
        </w:rPr>
      </w:pPr>
      <w:bookmarkStart w:id="210" w:name="_Toc989092"/>
      <w:r>
        <w:rPr>
          <w:rFonts w:ascii="宋体" w:hAnsi="宋体" w:eastAsia="宋体" w:cs="宋体"/>
          <w:b/>
          <w:bCs/>
          <w:szCs w:val="21"/>
        </w:rPr>
        <w:t>（2） 融资租赁的会计处理方法</w:t>
      </w:r>
      <w:bookmarkEnd w:id="210"/>
    </w:p>
    <w:p>
      <w:pPr>
        <w:pStyle w:val="11"/>
        <w:spacing w:before="40" w:beforeAutospacing="0" w:after="40" w:afterAutospacing="0"/>
        <w:ind w:firstLine="360"/>
        <w:rPr>
          <w:rFonts w:ascii="等线" w:hAnsi="等线" w:eastAsia="等线"/>
          <w:sz w:val="21"/>
          <w:szCs w:val="21"/>
        </w:rPr>
      </w:pPr>
      <w:r>
        <w:rPr>
          <w:rFonts w:hint="eastAsia"/>
          <w:sz w:val="18"/>
          <w:szCs w:val="18"/>
        </w:rPr>
        <w:t>在租赁开始日，本公司对融资租赁确认应收融资租赁款，并终止确认融资租赁资产。本公司对应收融资租赁款进行初始计量时，将租赁投资净额作为应收融资租赁款的入账价值。租赁投资净额为未担保余值和租赁期开始日尚未收到的租赁收款额按照租赁内含利率折现的现值之和。</w:t>
      </w:r>
    </w:p>
    <w:p>
      <w:pPr>
        <w:pStyle w:val="11"/>
        <w:spacing w:before="40" w:beforeAutospacing="0" w:after="40" w:afterAutospacing="0"/>
        <w:ind w:firstLine="360"/>
        <w:rPr>
          <w:rFonts w:ascii="等线" w:hAnsi="等线" w:eastAsia="等线"/>
          <w:sz w:val="21"/>
          <w:szCs w:val="21"/>
        </w:rPr>
      </w:pPr>
      <w:r>
        <w:rPr>
          <w:rFonts w:hint="eastAsia"/>
          <w:sz w:val="18"/>
          <w:szCs w:val="18"/>
        </w:rPr>
        <w:t>本公司按照固定的周期性利率计算并确认租赁期内各个期间的利息收入。应收融资租赁款的终止确认和减值按照本附注五、9“金融工具”进行会计处理。未纳入租赁投资净额计量的可变租赁付款额在实际发生时计入当期损益。</w:t>
      </w:r>
    </w:p>
    <w:p>
      <w:pPr>
        <w:pStyle w:val="4"/>
        <w:spacing w:line="280" w:lineRule="exact"/>
        <w:jc w:val="left"/>
        <w:rPr>
          <w:rFonts w:ascii="宋体" w:hAnsi="宋体" w:cs="宋体"/>
          <w:b/>
          <w:bCs/>
        </w:rPr>
      </w:pPr>
      <w:bookmarkStart w:id="211" w:name="_Toc989093"/>
      <w:r>
        <w:rPr>
          <w:rFonts w:ascii="宋体" w:hAnsi="宋体" w:cs="宋体"/>
          <w:b/>
          <w:bCs/>
        </w:rPr>
        <w:t>35、其他重要的会计政策和会计估计</w:t>
      </w:r>
      <w:bookmarkEnd w:id="211"/>
    </w:p>
    <w:p>
      <w:pPr>
        <w:pStyle w:val="11"/>
        <w:spacing w:before="40" w:beforeAutospacing="0" w:after="40" w:afterAutospacing="0"/>
        <w:ind w:firstLine="360"/>
        <w:rPr>
          <w:rFonts w:ascii="等线" w:hAnsi="等线" w:eastAsia="等线"/>
          <w:sz w:val="21"/>
          <w:szCs w:val="21"/>
        </w:rPr>
      </w:pPr>
      <w:r>
        <w:rPr>
          <w:rFonts w:hint="eastAsia"/>
          <w:sz w:val="18"/>
          <w:szCs w:val="18"/>
        </w:rPr>
        <w:t>（1）关联方</w:t>
      </w:r>
    </w:p>
    <w:p>
      <w:pPr>
        <w:pStyle w:val="11"/>
        <w:spacing w:before="40" w:beforeAutospacing="0" w:after="40" w:afterAutospacing="0"/>
        <w:ind w:firstLine="360"/>
        <w:rPr>
          <w:rFonts w:ascii="等线" w:hAnsi="等线" w:eastAsia="等线"/>
          <w:sz w:val="21"/>
          <w:szCs w:val="21"/>
        </w:rPr>
      </w:pPr>
      <w:r>
        <w:rPr>
          <w:rFonts w:hint="eastAsia"/>
          <w:sz w:val="18"/>
          <w:szCs w:val="18"/>
        </w:rPr>
        <w:t>一方控制、共同控制另一方或对另一方施加重大影响，以及两方或两方以上同受一方控制、共同控制的，构成关联方。关联方可为个人或企业。仅仅同受国家控制而不存在其他关联方关系的企业，不构成关联方。</w:t>
      </w:r>
    </w:p>
    <w:p>
      <w:pPr>
        <w:pStyle w:val="11"/>
        <w:spacing w:before="40" w:beforeAutospacing="0" w:after="40" w:afterAutospacing="0"/>
        <w:ind w:firstLine="360"/>
        <w:rPr>
          <w:rFonts w:ascii="等线" w:hAnsi="等线" w:eastAsia="等线"/>
          <w:sz w:val="21"/>
          <w:szCs w:val="21"/>
        </w:rPr>
      </w:pPr>
      <w:r>
        <w:rPr>
          <w:rFonts w:hint="eastAsia"/>
          <w:sz w:val="18"/>
          <w:szCs w:val="18"/>
        </w:rPr>
        <w:t>本公司关联方包括但不限于：</w:t>
      </w:r>
    </w:p>
    <w:p>
      <w:pPr>
        <w:pStyle w:val="11"/>
        <w:spacing w:before="40" w:beforeAutospacing="0" w:after="40" w:afterAutospacing="0"/>
        <w:ind w:firstLine="360"/>
        <w:rPr>
          <w:rFonts w:ascii="等线" w:hAnsi="等线" w:eastAsia="等线"/>
          <w:sz w:val="21"/>
          <w:szCs w:val="21"/>
        </w:rPr>
      </w:pPr>
      <w:r>
        <w:rPr>
          <w:rFonts w:hint="eastAsia"/>
          <w:sz w:val="18"/>
          <w:szCs w:val="18"/>
        </w:rPr>
        <w:t>1）母公司；</w:t>
      </w:r>
    </w:p>
    <w:p>
      <w:pPr>
        <w:pStyle w:val="11"/>
        <w:spacing w:before="40" w:beforeAutospacing="0" w:after="40" w:afterAutospacing="0"/>
        <w:ind w:firstLine="360"/>
        <w:rPr>
          <w:rFonts w:ascii="等线" w:hAnsi="等线" w:eastAsia="等线"/>
          <w:sz w:val="21"/>
          <w:szCs w:val="21"/>
        </w:rPr>
      </w:pPr>
      <w:r>
        <w:rPr>
          <w:rFonts w:hint="eastAsia"/>
          <w:sz w:val="18"/>
          <w:szCs w:val="18"/>
        </w:rPr>
        <w:t>2）子公司；</w:t>
      </w:r>
    </w:p>
    <w:p>
      <w:pPr>
        <w:pStyle w:val="11"/>
        <w:spacing w:before="40" w:beforeAutospacing="0" w:after="40" w:afterAutospacing="0"/>
        <w:ind w:firstLine="360"/>
        <w:rPr>
          <w:rFonts w:ascii="等线" w:hAnsi="等线" w:eastAsia="等线"/>
          <w:sz w:val="21"/>
          <w:szCs w:val="21"/>
        </w:rPr>
      </w:pPr>
      <w:r>
        <w:rPr>
          <w:rFonts w:hint="eastAsia"/>
          <w:sz w:val="18"/>
          <w:szCs w:val="18"/>
        </w:rPr>
        <w:t>3）受同一母公司控制的其他企业；</w:t>
      </w:r>
    </w:p>
    <w:p>
      <w:pPr>
        <w:pStyle w:val="11"/>
        <w:spacing w:before="40" w:beforeAutospacing="0" w:after="40" w:afterAutospacing="0"/>
        <w:ind w:firstLine="360"/>
        <w:rPr>
          <w:rFonts w:ascii="等线" w:hAnsi="等线" w:eastAsia="等线"/>
          <w:sz w:val="21"/>
          <w:szCs w:val="21"/>
        </w:rPr>
      </w:pPr>
      <w:r>
        <w:rPr>
          <w:rFonts w:hint="eastAsia"/>
          <w:sz w:val="18"/>
          <w:szCs w:val="18"/>
        </w:rPr>
        <w:t>4）实施共同控制的投资方；</w:t>
      </w:r>
    </w:p>
    <w:p>
      <w:pPr>
        <w:pStyle w:val="11"/>
        <w:spacing w:before="40" w:beforeAutospacing="0" w:after="40" w:afterAutospacing="0"/>
        <w:ind w:firstLine="360"/>
        <w:rPr>
          <w:rFonts w:ascii="等线" w:hAnsi="等线" w:eastAsia="等线"/>
          <w:sz w:val="21"/>
          <w:szCs w:val="21"/>
        </w:rPr>
      </w:pPr>
      <w:r>
        <w:rPr>
          <w:rFonts w:hint="eastAsia"/>
          <w:sz w:val="18"/>
          <w:szCs w:val="18"/>
        </w:rPr>
        <w:t>5）施加重大影响的投资方；</w:t>
      </w:r>
    </w:p>
    <w:p>
      <w:pPr>
        <w:pStyle w:val="11"/>
        <w:spacing w:before="40" w:beforeAutospacing="0" w:after="40" w:afterAutospacing="0"/>
        <w:ind w:firstLine="360"/>
        <w:rPr>
          <w:rFonts w:ascii="等线" w:hAnsi="等线" w:eastAsia="等线"/>
          <w:sz w:val="21"/>
          <w:szCs w:val="21"/>
        </w:rPr>
      </w:pPr>
      <w:r>
        <w:rPr>
          <w:rFonts w:hint="eastAsia"/>
          <w:sz w:val="18"/>
          <w:szCs w:val="18"/>
        </w:rPr>
        <w:t>6）合营企业，包括合营企业的子公司；</w:t>
      </w:r>
    </w:p>
    <w:p>
      <w:pPr>
        <w:pStyle w:val="11"/>
        <w:spacing w:before="40" w:beforeAutospacing="0" w:after="40" w:afterAutospacing="0"/>
        <w:ind w:firstLine="360"/>
        <w:rPr>
          <w:rFonts w:ascii="等线" w:hAnsi="等线" w:eastAsia="等线"/>
          <w:sz w:val="21"/>
          <w:szCs w:val="21"/>
        </w:rPr>
      </w:pPr>
      <w:r>
        <w:rPr>
          <w:rFonts w:hint="eastAsia"/>
          <w:sz w:val="18"/>
          <w:szCs w:val="18"/>
        </w:rPr>
        <w:t>7）联营企业，包括联营企业的子公司；</w:t>
      </w:r>
    </w:p>
    <w:p>
      <w:pPr>
        <w:pStyle w:val="11"/>
        <w:spacing w:before="40" w:beforeAutospacing="0" w:after="40" w:afterAutospacing="0"/>
        <w:ind w:firstLine="360"/>
        <w:rPr>
          <w:rFonts w:ascii="等线" w:hAnsi="等线" w:eastAsia="等线"/>
          <w:sz w:val="21"/>
          <w:szCs w:val="21"/>
        </w:rPr>
      </w:pPr>
      <w:r>
        <w:rPr>
          <w:rFonts w:hint="eastAsia"/>
          <w:sz w:val="18"/>
          <w:szCs w:val="18"/>
        </w:rPr>
        <w:t>8）本公司与所属企业集团的其他成员单位（包括母公司和子公司）的合营企业或联营企业；</w:t>
      </w:r>
    </w:p>
    <w:p>
      <w:pPr>
        <w:pStyle w:val="11"/>
        <w:spacing w:before="40" w:beforeAutospacing="0" w:after="40" w:afterAutospacing="0"/>
        <w:ind w:firstLine="360"/>
        <w:rPr>
          <w:rFonts w:ascii="等线" w:hAnsi="等线" w:eastAsia="等线"/>
          <w:sz w:val="21"/>
          <w:szCs w:val="21"/>
        </w:rPr>
      </w:pPr>
      <w:r>
        <w:rPr>
          <w:rFonts w:hint="eastAsia"/>
          <w:sz w:val="18"/>
          <w:szCs w:val="18"/>
        </w:rPr>
        <w:t>9）主要投资者个人及与其关系密切的家庭成员 ；</w:t>
      </w:r>
    </w:p>
    <w:p>
      <w:pPr>
        <w:pStyle w:val="11"/>
        <w:spacing w:before="40" w:beforeAutospacing="0" w:after="40" w:afterAutospacing="0"/>
        <w:ind w:firstLine="360"/>
        <w:rPr>
          <w:rFonts w:ascii="等线" w:hAnsi="等线" w:eastAsia="等线"/>
          <w:sz w:val="21"/>
          <w:szCs w:val="21"/>
        </w:rPr>
      </w:pPr>
      <w:r>
        <w:rPr>
          <w:rFonts w:hint="eastAsia"/>
          <w:sz w:val="18"/>
          <w:szCs w:val="18"/>
        </w:rPr>
        <w:t>10）本公司或其母公司的关键管理人员及与其关系密切的家庭成员；</w:t>
      </w:r>
    </w:p>
    <w:p>
      <w:pPr>
        <w:pStyle w:val="11"/>
        <w:spacing w:before="40" w:beforeAutospacing="0" w:after="40" w:afterAutospacing="0"/>
        <w:ind w:firstLine="360"/>
        <w:rPr>
          <w:rFonts w:ascii="等线" w:hAnsi="等线" w:eastAsia="等线"/>
          <w:sz w:val="21"/>
          <w:szCs w:val="21"/>
        </w:rPr>
      </w:pPr>
      <w:r>
        <w:rPr>
          <w:rFonts w:hint="eastAsia"/>
          <w:sz w:val="18"/>
          <w:szCs w:val="18"/>
        </w:rPr>
        <w:t>11）本公司主要投资者个人、关键管理人员或与其关系密切的家庭成员控制、共同控制的其他企业。</w:t>
      </w:r>
    </w:p>
    <w:p>
      <w:pPr>
        <w:pStyle w:val="11"/>
        <w:spacing w:before="40" w:beforeAutospacing="0" w:after="40" w:afterAutospacing="0"/>
        <w:ind w:firstLine="360"/>
        <w:rPr>
          <w:rFonts w:ascii="等线" w:hAnsi="等线" w:eastAsia="等线"/>
          <w:sz w:val="21"/>
          <w:szCs w:val="21"/>
        </w:rPr>
      </w:pPr>
      <w:r>
        <w:rPr>
          <w:rFonts w:hint="eastAsia"/>
          <w:sz w:val="18"/>
          <w:szCs w:val="18"/>
        </w:rPr>
        <w:t>除上述按照企业会计准则的有关要求被确定为本公司的关联方以外，根据证监会颁布的《上市公司信息披露管理办法》的要求，以下企业或个人 (包括但不限于) 也属于本公司的关联方：</w:t>
      </w:r>
    </w:p>
    <w:p>
      <w:pPr>
        <w:pStyle w:val="11"/>
        <w:spacing w:before="40" w:beforeAutospacing="0" w:after="40" w:afterAutospacing="0"/>
        <w:ind w:firstLine="360"/>
        <w:rPr>
          <w:rFonts w:ascii="等线" w:hAnsi="等线" w:eastAsia="等线"/>
          <w:sz w:val="21"/>
          <w:szCs w:val="21"/>
        </w:rPr>
      </w:pPr>
      <w:r>
        <w:rPr>
          <w:rFonts w:hint="eastAsia"/>
          <w:sz w:val="18"/>
          <w:szCs w:val="18"/>
        </w:rPr>
        <w:t>12）持有本公司5% 以上股份的企业或者一致行动人；</w:t>
      </w:r>
    </w:p>
    <w:p>
      <w:pPr>
        <w:pStyle w:val="11"/>
        <w:spacing w:before="40" w:beforeAutospacing="0" w:after="40" w:afterAutospacing="0"/>
        <w:ind w:firstLine="360"/>
        <w:rPr>
          <w:rFonts w:ascii="等线" w:hAnsi="等线" w:eastAsia="等线"/>
          <w:sz w:val="21"/>
          <w:szCs w:val="21"/>
        </w:rPr>
      </w:pPr>
      <w:r>
        <w:rPr>
          <w:rFonts w:hint="eastAsia"/>
          <w:sz w:val="18"/>
          <w:szCs w:val="18"/>
        </w:rPr>
        <w:t>13）直接或者间接持有本公司5% 以上股份的个人及与其关系密切的家庭成员，上市公司监事及与其关系密切的家庭成员；</w:t>
      </w:r>
    </w:p>
    <w:p>
      <w:pPr>
        <w:pStyle w:val="11"/>
        <w:spacing w:before="40" w:beforeAutospacing="0" w:after="40" w:afterAutospacing="0"/>
        <w:ind w:firstLine="360"/>
        <w:rPr>
          <w:rFonts w:ascii="等线" w:hAnsi="等线" w:eastAsia="等线"/>
          <w:sz w:val="21"/>
          <w:szCs w:val="21"/>
        </w:rPr>
      </w:pPr>
      <w:r>
        <w:rPr>
          <w:rFonts w:hint="eastAsia"/>
          <w:sz w:val="18"/>
          <w:szCs w:val="18"/>
        </w:rPr>
        <w:t>14）在过去12个月内或者根据相关协议安排在未来12月内，存在上述第1、3和11项情形之一的企业；</w:t>
      </w:r>
    </w:p>
    <w:p>
      <w:pPr>
        <w:pStyle w:val="11"/>
        <w:spacing w:before="40" w:beforeAutospacing="0" w:after="40" w:afterAutospacing="0"/>
        <w:ind w:firstLine="360"/>
        <w:rPr>
          <w:rFonts w:ascii="等线" w:hAnsi="等线" w:eastAsia="等线"/>
          <w:sz w:val="21"/>
          <w:szCs w:val="21"/>
        </w:rPr>
      </w:pPr>
      <w:r>
        <w:rPr>
          <w:rFonts w:hint="eastAsia"/>
          <w:sz w:val="18"/>
          <w:szCs w:val="18"/>
        </w:rPr>
        <w:t>15）在过去12个月内或者根据相关协议安排在未来12月内，存在上述第9、12项情形之一的个人；</w:t>
      </w:r>
    </w:p>
    <w:p>
      <w:pPr>
        <w:pStyle w:val="11"/>
        <w:spacing w:before="40" w:beforeAutospacing="0" w:after="40" w:afterAutospacing="0"/>
        <w:ind w:firstLine="360"/>
        <w:rPr>
          <w:rFonts w:ascii="等线" w:hAnsi="等线" w:eastAsia="等线"/>
          <w:sz w:val="21"/>
          <w:szCs w:val="21"/>
        </w:rPr>
      </w:pPr>
      <w:r>
        <w:rPr>
          <w:rFonts w:hint="eastAsia"/>
          <w:sz w:val="18"/>
          <w:szCs w:val="18"/>
        </w:rPr>
        <w:t>16）由上述第9、12和14项直接或者间接控制的、或者担任董事、高级管理人员的，除本公司及其控股子公司以外的企业。</w:t>
      </w:r>
    </w:p>
    <w:p>
      <w:pPr>
        <w:pStyle w:val="11"/>
        <w:spacing w:before="40" w:beforeAutospacing="0" w:after="40" w:afterAutospacing="0"/>
        <w:ind w:firstLine="360"/>
        <w:rPr>
          <w:rFonts w:ascii="等线" w:hAnsi="等线" w:eastAsia="等线"/>
          <w:sz w:val="21"/>
          <w:szCs w:val="21"/>
        </w:rPr>
      </w:pPr>
      <w:r>
        <w:rPr>
          <w:rFonts w:hint="eastAsia"/>
          <w:sz w:val="18"/>
          <w:szCs w:val="18"/>
        </w:rPr>
        <w:t>除上述列示的本公司的关联方之外，下列各方构成关联方：</w:t>
      </w:r>
    </w:p>
    <w:p>
      <w:pPr>
        <w:pStyle w:val="11"/>
        <w:spacing w:before="40" w:beforeAutospacing="0" w:after="40" w:afterAutospacing="0"/>
        <w:ind w:firstLine="360"/>
        <w:rPr>
          <w:rFonts w:ascii="等线" w:hAnsi="等线" w:eastAsia="等线"/>
          <w:sz w:val="21"/>
          <w:szCs w:val="21"/>
        </w:rPr>
      </w:pPr>
      <w:r>
        <w:rPr>
          <w:rFonts w:hint="eastAsia"/>
          <w:sz w:val="18"/>
          <w:szCs w:val="18"/>
        </w:rPr>
        <w:t>本公司的合营企业与本公司的其他合营企业或联营企业。</w:t>
      </w:r>
    </w:p>
    <w:p>
      <w:pPr>
        <w:pStyle w:val="11"/>
        <w:spacing w:before="40" w:beforeAutospacing="0" w:after="40" w:afterAutospacing="0"/>
        <w:ind w:firstLine="360"/>
        <w:rPr>
          <w:rFonts w:ascii="等线" w:hAnsi="等线" w:eastAsia="等线"/>
          <w:sz w:val="21"/>
          <w:szCs w:val="21"/>
        </w:rPr>
      </w:pPr>
      <w:r>
        <w:rPr>
          <w:rFonts w:hint="eastAsia"/>
          <w:sz w:val="18"/>
          <w:szCs w:val="18"/>
        </w:rPr>
        <w:t>（2）分部报告</w:t>
      </w:r>
    </w:p>
    <w:p>
      <w:pPr>
        <w:pStyle w:val="11"/>
        <w:spacing w:before="40" w:beforeAutospacing="0" w:after="40" w:afterAutospacing="0"/>
        <w:ind w:firstLine="360"/>
        <w:rPr>
          <w:rFonts w:ascii="等线" w:hAnsi="等线" w:eastAsia="等线"/>
          <w:sz w:val="21"/>
          <w:szCs w:val="21"/>
        </w:rPr>
      </w:pPr>
      <w:r>
        <w:rPr>
          <w:rFonts w:hint="eastAsia"/>
          <w:sz w:val="18"/>
          <w:szCs w:val="18"/>
        </w:rPr>
        <w:t>以内部组织结构、管理要求、内部报告制度为依据确定经营分部，以经营分部为基础确定报告分部。经营分部，是指公司内同时满足下列条件的组成部分：</w:t>
      </w:r>
    </w:p>
    <w:p>
      <w:pPr>
        <w:pStyle w:val="11"/>
        <w:spacing w:before="40" w:beforeAutospacing="0" w:after="40" w:afterAutospacing="0"/>
        <w:ind w:firstLine="360"/>
        <w:rPr>
          <w:rFonts w:ascii="等线" w:hAnsi="等线" w:eastAsia="等线"/>
          <w:sz w:val="21"/>
          <w:szCs w:val="21"/>
        </w:rPr>
      </w:pPr>
      <w:r>
        <w:rPr>
          <w:rFonts w:hint="eastAsia"/>
          <w:sz w:val="18"/>
          <w:szCs w:val="18"/>
        </w:rPr>
        <w:t>1）该组成部分能够在日常活动中产生收入、发生费用；</w:t>
      </w:r>
    </w:p>
    <w:p>
      <w:pPr>
        <w:pStyle w:val="11"/>
        <w:spacing w:before="40" w:beforeAutospacing="0" w:after="40" w:afterAutospacing="0"/>
        <w:ind w:firstLine="360"/>
        <w:rPr>
          <w:rFonts w:ascii="等线" w:hAnsi="等线" w:eastAsia="等线"/>
          <w:sz w:val="21"/>
          <w:szCs w:val="21"/>
        </w:rPr>
      </w:pPr>
      <w:r>
        <w:rPr>
          <w:rFonts w:hint="eastAsia"/>
          <w:sz w:val="18"/>
          <w:szCs w:val="18"/>
        </w:rPr>
        <w:t>2）公司管理层能够定期评价该组成部分的经营成果，以决定向其配置资源、评价其业绩；</w:t>
      </w:r>
    </w:p>
    <w:p>
      <w:pPr>
        <w:pStyle w:val="11"/>
        <w:spacing w:before="40" w:beforeAutospacing="0" w:after="40" w:afterAutospacing="0"/>
        <w:ind w:firstLine="360"/>
        <w:rPr>
          <w:rFonts w:ascii="等线" w:hAnsi="等线" w:eastAsia="等线"/>
          <w:sz w:val="21"/>
          <w:szCs w:val="21"/>
        </w:rPr>
      </w:pPr>
      <w:r>
        <w:rPr>
          <w:rFonts w:hint="eastAsia"/>
          <w:sz w:val="18"/>
          <w:szCs w:val="18"/>
        </w:rPr>
        <w:t>3）公司能够取得该组成部分的财务状况、经营成果和现金流量等有关会计信息。</w:t>
      </w:r>
    </w:p>
    <w:p>
      <w:pPr>
        <w:pStyle w:val="11"/>
        <w:spacing w:before="40" w:beforeAutospacing="0" w:after="40" w:afterAutospacing="0"/>
        <w:ind w:firstLine="360"/>
        <w:rPr>
          <w:rFonts w:ascii="等线" w:hAnsi="等线" w:eastAsia="等线"/>
          <w:sz w:val="21"/>
          <w:szCs w:val="21"/>
        </w:rPr>
      </w:pPr>
      <w:r>
        <w:rPr>
          <w:rFonts w:hint="eastAsia"/>
          <w:sz w:val="18"/>
          <w:szCs w:val="18"/>
        </w:rPr>
        <w:t>如果两个或多个经营分部存在相似经济特征且同时在以下方面具有相同或相似性的，可以合并为一个经营分部：</w:t>
      </w:r>
    </w:p>
    <w:p>
      <w:pPr>
        <w:pStyle w:val="11"/>
        <w:spacing w:before="40" w:beforeAutospacing="0" w:after="40" w:afterAutospacing="0"/>
        <w:ind w:firstLine="360"/>
        <w:rPr>
          <w:rFonts w:ascii="等线" w:hAnsi="等线" w:eastAsia="等线"/>
          <w:sz w:val="21"/>
          <w:szCs w:val="21"/>
        </w:rPr>
      </w:pPr>
      <w:r>
        <w:rPr>
          <w:rFonts w:hint="eastAsia"/>
          <w:sz w:val="18"/>
          <w:szCs w:val="18"/>
        </w:rPr>
        <w:t>1）各单项产品或劳务的性质；</w:t>
      </w:r>
    </w:p>
    <w:p>
      <w:pPr>
        <w:pStyle w:val="11"/>
        <w:spacing w:before="40" w:beforeAutospacing="0" w:after="40" w:afterAutospacing="0"/>
        <w:ind w:firstLine="360"/>
        <w:rPr>
          <w:rFonts w:ascii="等线" w:hAnsi="等线" w:eastAsia="等线"/>
          <w:sz w:val="21"/>
          <w:szCs w:val="21"/>
        </w:rPr>
      </w:pPr>
      <w:r>
        <w:rPr>
          <w:rFonts w:hint="eastAsia"/>
          <w:sz w:val="18"/>
          <w:szCs w:val="18"/>
        </w:rPr>
        <w:t>2）生产过程的性质；</w:t>
      </w:r>
    </w:p>
    <w:p>
      <w:pPr>
        <w:pStyle w:val="11"/>
        <w:spacing w:before="40" w:beforeAutospacing="0" w:after="40" w:afterAutospacing="0"/>
        <w:ind w:firstLine="360"/>
        <w:rPr>
          <w:rFonts w:ascii="等线" w:hAnsi="等线" w:eastAsia="等线"/>
          <w:sz w:val="21"/>
          <w:szCs w:val="21"/>
        </w:rPr>
      </w:pPr>
      <w:r>
        <w:rPr>
          <w:rFonts w:hint="eastAsia"/>
          <w:sz w:val="18"/>
          <w:szCs w:val="18"/>
        </w:rPr>
        <w:t>3）产品或劳务的客户类型；</w:t>
      </w:r>
    </w:p>
    <w:p>
      <w:pPr>
        <w:pStyle w:val="11"/>
        <w:spacing w:before="40" w:beforeAutospacing="0" w:after="40" w:afterAutospacing="0"/>
        <w:ind w:firstLine="360"/>
        <w:rPr>
          <w:rFonts w:ascii="等线" w:hAnsi="等线" w:eastAsia="等线"/>
          <w:sz w:val="21"/>
          <w:szCs w:val="21"/>
        </w:rPr>
      </w:pPr>
      <w:r>
        <w:rPr>
          <w:rFonts w:hint="eastAsia"/>
          <w:sz w:val="18"/>
          <w:szCs w:val="18"/>
        </w:rPr>
        <w:t>4）销售产品或提供劳务的方式；</w:t>
      </w:r>
    </w:p>
    <w:p>
      <w:pPr>
        <w:pStyle w:val="11"/>
        <w:spacing w:before="40" w:beforeAutospacing="0" w:after="40" w:afterAutospacing="0"/>
        <w:ind w:firstLine="360"/>
        <w:rPr>
          <w:rFonts w:ascii="等线" w:hAnsi="等线" w:eastAsia="等线"/>
          <w:sz w:val="21"/>
          <w:szCs w:val="21"/>
        </w:rPr>
      </w:pPr>
      <w:r>
        <w:rPr>
          <w:rFonts w:hint="eastAsia"/>
          <w:sz w:val="18"/>
          <w:szCs w:val="18"/>
        </w:rPr>
        <w:t>5）生产产品及提供劳务受法律、行政法规的影响。</w:t>
      </w:r>
    </w:p>
    <w:p>
      <w:pPr>
        <w:pStyle w:val="11"/>
        <w:spacing w:before="40" w:beforeAutospacing="0" w:after="40" w:afterAutospacing="0"/>
        <w:ind w:firstLine="360"/>
        <w:rPr>
          <w:rFonts w:ascii="等线" w:hAnsi="等线" w:eastAsia="等线"/>
          <w:sz w:val="21"/>
          <w:szCs w:val="21"/>
        </w:rPr>
      </w:pPr>
      <w:r>
        <w:rPr>
          <w:rFonts w:hint="eastAsia"/>
          <w:sz w:val="18"/>
          <w:szCs w:val="18"/>
        </w:rPr>
        <w:t>（3）终止经营</w:t>
      </w:r>
    </w:p>
    <w:p>
      <w:pPr>
        <w:pStyle w:val="11"/>
        <w:spacing w:before="40" w:beforeAutospacing="0" w:after="40" w:afterAutospacing="0"/>
        <w:ind w:firstLine="360"/>
        <w:rPr>
          <w:rFonts w:ascii="等线" w:hAnsi="等线" w:eastAsia="等线"/>
          <w:sz w:val="21"/>
          <w:szCs w:val="21"/>
        </w:rPr>
      </w:pPr>
      <w:r>
        <w:rPr>
          <w:rFonts w:hint="eastAsia"/>
          <w:sz w:val="18"/>
          <w:szCs w:val="18"/>
        </w:rPr>
        <w:t>终止经营，是指满足下列条件之一的、能够单独区分的组成部分，且该组成部分已经处置或划分为持有待售类别：</w:t>
      </w:r>
    </w:p>
    <w:p>
      <w:pPr>
        <w:pStyle w:val="11"/>
        <w:spacing w:before="40" w:beforeAutospacing="0" w:after="40" w:afterAutospacing="0"/>
        <w:ind w:firstLine="360"/>
        <w:rPr>
          <w:rFonts w:ascii="等线" w:hAnsi="等线" w:eastAsia="等线"/>
          <w:sz w:val="21"/>
          <w:szCs w:val="21"/>
        </w:rPr>
      </w:pPr>
      <w:r>
        <w:rPr>
          <w:rFonts w:hint="eastAsia"/>
          <w:sz w:val="18"/>
          <w:szCs w:val="18"/>
        </w:rPr>
        <w:t>1）该组成部分代表一项独立的主要业务或一个单独的主要经营地区；</w:t>
      </w:r>
    </w:p>
    <w:p>
      <w:pPr>
        <w:pStyle w:val="11"/>
        <w:spacing w:before="40" w:beforeAutospacing="0" w:after="40" w:afterAutospacing="0"/>
        <w:ind w:firstLine="360"/>
        <w:rPr>
          <w:rFonts w:ascii="等线" w:hAnsi="等线" w:eastAsia="等线"/>
          <w:sz w:val="21"/>
          <w:szCs w:val="21"/>
        </w:rPr>
      </w:pPr>
      <w:r>
        <w:rPr>
          <w:rFonts w:hint="eastAsia"/>
          <w:sz w:val="18"/>
          <w:szCs w:val="18"/>
        </w:rPr>
        <w:t>2）该组成部分是拟对一项独立的主要业务或一个单独的主要经营地区进行处置的一项相关联计划的一部分；</w:t>
      </w:r>
    </w:p>
    <w:p>
      <w:pPr>
        <w:pStyle w:val="11"/>
        <w:spacing w:before="40" w:beforeAutospacing="0" w:after="40" w:afterAutospacing="0"/>
        <w:ind w:firstLine="360"/>
        <w:rPr>
          <w:rFonts w:ascii="等线" w:hAnsi="等线" w:eastAsia="等线"/>
          <w:sz w:val="21"/>
          <w:szCs w:val="21"/>
        </w:rPr>
      </w:pPr>
      <w:r>
        <w:rPr>
          <w:rFonts w:hint="eastAsia"/>
          <w:sz w:val="18"/>
          <w:szCs w:val="18"/>
        </w:rPr>
        <w:t>3）该组成部分是专为转售而取得的子公司。</w:t>
      </w:r>
    </w:p>
    <w:p>
      <w:pPr>
        <w:pStyle w:val="11"/>
        <w:spacing w:before="40" w:beforeAutospacing="0" w:after="40" w:afterAutospacing="0"/>
        <w:ind w:firstLine="360"/>
        <w:rPr>
          <w:rFonts w:ascii="等线" w:hAnsi="等线" w:eastAsia="等线"/>
          <w:sz w:val="21"/>
          <w:szCs w:val="21"/>
        </w:rPr>
      </w:pPr>
      <w:r>
        <w:rPr>
          <w:rFonts w:hint="eastAsia"/>
          <w:sz w:val="18"/>
          <w:szCs w:val="18"/>
        </w:rPr>
        <w:t>符合持有待售的资产的会计处理见本附注五、16。</w:t>
      </w:r>
    </w:p>
    <w:p>
      <w:pPr>
        <w:pStyle w:val="11"/>
        <w:spacing w:before="40" w:beforeAutospacing="0" w:after="40" w:afterAutospacing="0"/>
        <w:ind w:firstLine="360"/>
        <w:rPr>
          <w:rFonts w:ascii="等线" w:hAnsi="等线" w:eastAsia="等线"/>
          <w:sz w:val="21"/>
          <w:szCs w:val="21"/>
        </w:rPr>
      </w:pPr>
      <w:r>
        <w:rPr>
          <w:rFonts w:hint="eastAsia"/>
          <w:sz w:val="18"/>
          <w:szCs w:val="18"/>
        </w:rPr>
        <w:t>（4）回购本公司股份</w:t>
      </w:r>
    </w:p>
    <w:p>
      <w:pPr>
        <w:pStyle w:val="11"/>
        <w:spacing w:before="40" w:beforeAutospacing="0" w:after="40" w:afterAutospacing="0"/>
        <w:ind w:firstLine="360"/>
        <w:rPr>
          <w:rFonts w:ascii="等线" w:hAnsi="等线" w:eastAsia="等线"/>
          <w:sz w:val="21"/>
          <w:szCs w:val="21"/>
        </w:rPr>
      </w:pPr>
      <w:r>
        <w:rPr>
          <w:rFonts w:hint="eastAsia"/>
          <w:sz w:val="18"/>
          <w:szCs w:val="18"/>
        </w:rPr>
        <w:t>本公司回购的股份在注销或者转让之前，作为库存股管理，回购股份的全部支出转作库存股成本。股份回购中支付的对价和交易费用减少所有者权益，回购、转让或注销本公司股份时，不确认利得或损失。转让库存股，按实际收到的金额与库存股账面金额的差额，计入资本公积，资本公积不足冲减的，冲减盈余公积和未分配利润。注销库存股，按股票面值和注销股数减少股本，按注销库存股的账面余额与面值的差额，冲减资本公积，资本公积不足冲减的，冲减盈余公积和未分配利润。</w:t>
      </w:r>
    </w:p>
    <w:p>
      <w:pPr>
        <w:pStyle w:val="4"/>
        <w:spacing w:line="280" w:lineRule="exact"/>
        <w:jc w:val="left"/>
        <w:rPr>
          <w:rFonts w:ascii="宋体" w:hAnsi="宋体" w:cs="宋体"/>
          <w:b/>
          <w:bCs/>
        </w:rPr>
      </w:pPr>
      <w:bookmarkStart w:id="212" w:name="_Toc989094"/>
      <w:r>
        <w:rPr>
          <w:rFonts w:ascii="宋体" w:hAnsi="宋体" w:cs="宋体"/>
          <w:b/>
          <w:bCs/>
        </w:rPr>
        <w:t>36、重要会计政策和会计估计变更</w:t>
      </w:r>
      <w:bookmarkEnd w:id="212"/>
    </w:p>
    <w:p>
      <w:pPr>
        <w:keepNext/>
        <w:keepLines/>
        <w:spacing w:before="300" w:after="300" w:line="280" w:lineRule="exact"/>
        <w:outlineLvl w:val="3"/>
        <w:rPr>
          <w:rFonts w:ascii="宋体" w:hAnsi="宋体" w:eastAsia="宋体" w:cs="宋体"/>
          <w:b/>
          <w:bCs/>
          <w:sz w:val="18"/>
          <w:szCs w:val="18"/>
        </w:rPr>
      </w:pPr>
      <w:bookmarkStart w:id="213" w:name="_Toc989095"/>
      <w:r>
        <w:rPr>
          <w:rFonts w:ascii="宋体" w:hAnsi="宋体" w:eastAsia="宋体" w:cs="宋体"/>
          <w:b/>
          <w:bCs/>
          <w:sz w:val="18"/>
          <w:szCs w:val="18"/>
        </w:rPr>
        <w:t>（1） 重要会计政策变更</w:t>
      </w:r>
      <w:bookmarkEnd w:id="213"/>
    </w:p>
    <w:p>
      <w:pPr>
        <w:spacing w:before="40" w:after="40" w:line="240" w:lineRule="exact"/>
        <w:rPr>
          <w:rFonts w:ascii="宋体" w:hAnsi="宋体" w:eastAsia="宋体" w:cs="宋体"/>
          <w:sz w:val="18"/>
          <w:szCs w:val="18"/>
        </w:rPr>
      </w:pPr>
      <w:r>
        <w:rPr>
          <w:szCs w:val="24"/>
        </w:rPr>
        <w:t>√</w:t>
      </w:r>
      <w:r>
        <w:rPr>
          <w:rFonts w:ascii="宋体" w:hAnsi="宋体" w:eastAsia="宋体" w:cs="宋体"/>
          <w:sz w:val="18"/>
          <w:szCs w:val="18"/>
        </w:rPr>
        <w:t>适用 □不适用</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103"/>
        <w:gridCol w:w="2835"/>
        <w:gridCol w:w="170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1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会计政策变更的内容和原因</w:t>
            </w:r>
          </w:p>
        </w:tc>
        <w:tc>
          <w:tcPr>
            <w:tcW w:w="283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审批程序</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1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执行企业会计准则解释第15号导致的会计政策变更：财政部于2021年12月发布《企业会计准则解释第15号》，要求企业不再将试运行销售收入抵销成本后的净额冲减固定资产成本或者研发支出，规定企业在计量亏损合同时，履行合同的成本包括履行合同的增量成本和与履行合同直接相关的其他成本的分摊金额。</w:t>
            </w:r>
          </w:p>
        </w:tc>
        <w:tc>
          <w:tcPr>
            <w:tcW w:w="283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2023年3月30日，公司第六届董事会第二十七次会议，第六届监事会第十二次会议审议通过。</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本公司管理层认为，前述规定未对本公司财务报告产生重大影响。</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1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执行企业会计准则解释第16号导致的会计政策变更：财政部于2022年11月发布《企业会计准则解释第16号》，涉及①关于单项交易产生的资产和负债相关的递延所得税不适用初始确认豁免的会计处理；②关于发行方分类为权益工具的金融工具相关股利的所得税影响的会计处理；③关于企业将以现金结算的股份支付修改为以权益结算的股份支付的会计处理；其中①自2023年1月1日起施行，也可以选择自发布年度起施行，②、③自公布之日起施行。</w:t>
            </w:r>
          </w:p>
        </w:tc>
        <w:tc>
          <w:tcPr>
            <w:tcW w:w="283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2023年3月30日，公司第六届董事会第二十七次会议，第六届监事会第十二次会议审议通过。</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本公司管理层认为，前述规定未对本公司财务报告产生重大影响。</w:t>
            </w:r>
          </w:p>
        </w:tc>
      </w:tr>
    </w:tbl>
    <w:p>
      <w:pPr>
        <w:keepNext/>
        <w:keepLines/>
        <w:spacing w:before="300" w:after="300" w:line="280" w:lineRule="exact"/>
        <w:outlineLvl w:val="3"/>
        <w:rPr>
          <w:rFonts w:ascii="宋体" w:hAnsi="宋体" w:eastAsia="宋体" w:cs="宋体"/>
          <w:b/>
          <w:bCs/>
          <w:sz w:val="18"/>
          <w:szCs w:val="18"/>
        </w:rPr>
      </w:pPr>
      <w:bookmarkStart w:id="214" w:name="_Toc989096"/>
      <w:r>
        <w:rPr>
          <w:rFonts w:ascii="宋体" w:hAnsi="宋体" w:eastAsia="宋体" w:cs="宋体"/>
          <w:b/>
          <w:bCs/>
          <w:sz w:val="18"/>
          <w:szCs w:val="18"/>
        </w:rPr>
        <w:t>（2） 重要会计估计变更</w:t>
      </w:r>
      <w:bookmarkEnd w:id="214"/>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pStyle w:val="3"/>
        <w:spacing w:before="300" w:after="300" w:line="320" w:lineRule="exact"/>
        <w:rPr>
          <w:rFonts w:ascii="宋体" w:hAnsi="宋体" w:eastAsia="宋体" w:cs="宋体"/>
          <w:b/>
          <w:bCs/>
          <w:sz w:val="24"/>
          <w:szCs w:val="24"/>
        </w:rPr>
      </w:pPr>
      <w:bookmarkStart w:id="215" w:name="_Toc989097"/>
      <w:r>
        <w:rPr>
          <w:rFonts w:ascii="宋体" w:hAnsi="宋体" w:eastAsia="宋体" w:cs="宋体"/>
          <w:b/>
          <w:bCs/>
          <w:sz w:val="24"/>
          <w:szCs w:val="24"/>
        </w:rPr>
        <w:t>六、税项</w:t>
      </w:r>
      <w:bookmarkEnd w:id="215"/>
    </w:p>
    <w:p>
      <w:pPr>
        <w:pStyle w:val="4"/>
        <w:spacing w:line="280" w:lineRule="exact"/>
        <w:jc w:val="left"/>
        <w:rPr>
          <w:rFonts w:ascii="宋体" w:hAnsi="宋体" w:cs="宋体"/>
          <w:b/>
          <w:bCs/>
        </w:rPr>
      </w:pPr>
      <w:bookmarkStart w:id="216" w:name="_Toc989098"/>
      <w:r>
        <w:rPr>
          <w:rFonts w:ascii="宋体" w:hAnsi="宋体" w:cs="宋体"/>
          <w:b/>
          <w:bCs/>
        </w:rPr>
        <w:t>1、主要税种及税率</w:t>
      </w:r>
      <w:bookmarkEnd w:id="216"/>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税种</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计税依据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税率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增值税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按应税销售收入计算销项税，并扣除当期允许抵扣的进项税额后的差额计缴增值税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销项税按应税销售收入的13%、9%、6%计缴。供水业务按简易征收，征收率为3%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城市维护建设税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实际缴纳的流转税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企业所得税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应纳税所得额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详见下表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教育费附加</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实际缴纳的流转税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地方教育费附加</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实际缴纳的流转税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w:t>
            </w:r>
          </w:p>
        </w:tc>
      </w:tr>
    </w:tbl>
    <w:p>
      <w:pPr>
        <w:spacing w:before="40" w:after="40" w:line="240" w:lineRule="exact"/>
        <w:rPr>
          <w:rFonts w:ascii="宋体" w:hAnsi="宋体" w:eastAsia="宋体" w:cs="宋体"/>
          <w:sz w:val="18"/>
          <w:szCs w:val="18"/>
        </w:rPr>
      </w:pPr>
      <w:r>
        <w:rPr>
          <w:rFonts w:ascii="宋体" w:hAnsi="宋体" w:eastAsia="宋体" w:cs="宋体"/>
          <w:sz w:val="18"/>
          <w:szCs w:val="18"/>
        </w:rPr>
        <w:t>存在不同企业所得税税率纳税主体的，披露情况说明</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663"/>
        <w:gridCol w:w="297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666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纳税主体名称</w:t>
            </w:r>
          </w:p>
        </w:tc>
        <w:tc>
          <w:tcPr>
            <w:tcW w:w="29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所得税税率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66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三川智慧科技股份有限公司、温岭甬岭水表有限公司、江西三川科技有限公司、赣州天和永磁材料有限公司</w:t>
            </w:r>
          </w:p>
        </w:tc>
        <w:tc>
          <w:tcPr>
            <w:tcW w:w="29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66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杭州三川国德物联网科技有限公司</w:t>
            </w:r>
          </w:p>
        </w:tc>
        <w:tc>
          <w:tcPr>
            <w:tcW w:w="29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666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海三川金融信息服务有限公司、山东三川水表有限公司、鹰潭市余江区江川水务有限公司、余江县川水工程安装有限公司、鹰潭市景川水务有限公司、北京三川通达智慧科技有限公司、广西三川智慧水务有限公司、三川智慧水务研究院（杭州）有限公司、赣州中顺新材料有限公司、赣州三川稀土有限责任公司、赣州川宇国际贸易有限公司</w:t>
            </w:r>
          </w:p>
        </w:tc>
        <w:tc>
          <w:tcPr>
            <w:tcW w:w="29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25%</w:t>
            </w:r>
          </w:p>
        </w:tc>
      </w:tr>
    </w:tbl>
    <w:p>
      <w:pPr>
        <w:pStyle w:val="4"/>
        <w:spacing w:line="280" w:lineRule="exact"/>
        <w:jc w:val="left"/>
        <w:rPr>
          <w:rFonts w:ascii="宋体" w:hAnsi="宋体" w:cs="宋体"/>
          <w:b/>
          <w:bCs/>
        </w:rPr>
      </w:pPr>
      <w:bookmarkStart w:id="217" w:name="_Toc989099"/>
      <w:r>
        <w:rPr>
          <w:rFonts w:ascii="宋体" w:hAnsi="宋体" w:cs="宋体"/>
          <w:b/>
          <w:bCs/>
        </w:rPr>
        <w:t>2、税收优惠</w:t>
      </w:r>
      <w:bookmarkEnd w:id="217"/>
    </w:p>
    <w:p>
      <w:pPr>
        <w:pStyle w:val="11"/>
        <w:spacing w:before="40" w:beforeAutospacing="0" w:after="40" w:afterAutospacing="0"/>
        <w:ind w:firstLine="360"/>
        <w:rPr>
          <w:rFonts w:ascii="等线" w:hAnsi="等线" w:eastAsia="等线"/>
          <w:sz w:val="21"/>
          <w:szCs w:val="21"/>
        </w:rPr>
      </w:pPr>
      <w:r>
        <w:rPr>
          <w:rFonts w:hint="eastAsia"/>
          <w:sz w:val="18"/>
          <w:szCs w:val="18"/>
        </w:rPr>
        <w:t>1、增值税</w:t>
      </w:r>
    </w:p>
    <w:p>
      <w:pPr>
        <w:pStyle w:val="11"/>
        <w:spacing w:before="40" w:beforeAutospacing="0" w:after="40" w:afterAutospacing="0"/>
        <w:ind w:firstLine="360"/>
        <w:rPr>
          <w:rFonts w:ascii="等线" w:hAnsi="等线" w:eastAsia="等线"/>
          <w:sz w:val="21"/>
          <w:szCs w:val="21"/>
        </w:rPr>
      </w:pPr>
      <w:r>
        <w:rPr>
          <w:rFonts w:hint="eastAsia"/>
          <w:sz w:val="18"/>
          <w:szCs w:val="18"/>
        </w:rPr>
        <w:t>本公司于2014年7月29日获得鹰潭市经济技术开发区国家税务局的《增值税税收优惠资格确认表》，确认公司获得软件产品增值税退税资格。根据《财政部、国家税务总局关于软件产品增值税政策的通知》（财税[2011年]100号）的相关规定，增值税一般纳税人销售其自行开发生产的软件产品，按13%税率征收增值税后，对其增值税实际税负超过3%的部分实行即征即退政策。</w:t>
      </w:r>
    </w:p>
    <w:p>
      <w:pPr>
        <w:pStyle w:val="11"/>
        <w:spacing w:before="40" w:beforeAutospacing="0" w:after="40" w:afterAutospacing="0"/>
        <w:ind w:firstLine="360"/>
        <w:rPr>
          <w:rFonts w:ascii="等线" w:hAnsi="等线" w:eastAsia="等线"/>
          <w:sz w:val="21"/>
          <w:szCs w:val="21"/>
        </w:rPr>
      </w:pPr>
      <w:r>
        <w:rPr>
          <w:rFonts w:hint="eastAsia"/>
          <w:sz w:val="18"/>
          <w:szCs w:val="18"/>
        </w:rPr>
        <w:t>本公司之子公司杭州三川国德物联网科技有限公司为浙江省工业和信息化委员会认定的软件企业（证书编号浙R－2008－0068），根据《财政部、国家税务总局关于软件产品增值税政策的通知》（财税[2011年]100号）的相关规定，增值税一般纳税人销售其自行开发生产的软件产品，按13%税率征收增值税后，对其增值税实际税负超过3%的部分实行即征即退政策。</w:t>
      </w:r>
    </w:p>
    <w:p>
      <w:pPr>
        <w:pStyle w:val="11"/>
        <w:spacing w:before="40" w:beforeAutospacing="0" w:after="40" w:afterAutospacing="0"/>
        <w:ind w:firstLine="360"/>
        <w:rPr>
          <w:rFonts w:ascii="等线" w:hAnsi="等线" w:eastAsia="等线"/>
          <w:sz w:val="21"/>
          <w:szCs w:val="21"/>
        </w:rPr>
      </w:pPr>
      <w:r>
        <w:rPr>
          <w:rFonts w:hint="eastAsia"/>
          <w:sz w:val="18"/>
          <w:szCs w:val="18"/>
        </w:rPr>
        <w:t>2022年3月1日起根据财政部税务总局公告2021年第40号《资源综合利用产品和劳务增值税优惠目录（2022版）》，子公司赣州天和永磁材料有限公司生产产品原料为钕铁硼废料，此原料属于财税[2021]40号文件中所列综合利用的资源名称第3.6项---稀土产品加工废料及废弃稀土产品及拆解物项目），按已交纳该类增值税金额30%部分进行即征即退。</w:t>
      </w:r>
    </w:p>
    <w:p>
      <w:pPr>
        <w:pStyle w:val="11"/>
        <w:spacing w:before="40" w:beforeAutospacing="0" w:after="40" w:afterAutospacing="0"/>
        <w:ind w:firstLine="360"/>
        <w:rPr>
          <w:rFonts w:ascii="等线" w:hAnsi="等线" w:eastAsia="等线"/>
          <w:sz w:val="21"/>
          <w:szCs w:val="21"/>
        </w:rPr>
      </w:pPr>
      <w:r>
        <w:rPr>
          <w:rFonts w:hint="eastAsia"/>
          <w:sz w:val="18"/>
          <w:szCs w:val="18"/>
        </w:rPr>
        <w:t>2、企业所得税</w:t>
      </w:r>
    </w:p>
    <w:p>
      <w:pPr>
        <w:pStyle w:val="11"/>
        <w:spacing w:before="40" w:beforeAutospacing="0" w:after="40" w:afterAutospacing="0"/>
        <w:ind w:firstLine="360"/>
        <w:rPr>
          <w:rFonts w:ascii="等线" w:hAnsi="等线" w:eastAsia="等线"/>
          <w:sz w:val="21"/>
          <w:szCs w:val="21"/>
        </w:rPr>
      </w:pPr>
      <w:r>
        <w:rPr>
          <w:rFonts w:hint="eastAsia"/>
          <w:sz w:val="18"/>
          <w:szCs w:val="18"/>
        </w:rPr>
        <w:t>本公司于2020年9月14日通过国家级高新技术企业复审（证书编号：GR202036001361，有效期三年），本公司自2020年1月1日起至2022年12月31日按15%税率征收企业所得税。</w:t>
      </w:r>
    </w:p>
    <w:p>
      <w:pPr>
        <w:pStyle w:val="11"/>
        <w:spacing w:before="40" w:beforeAutospacing="0" w:after="40" w:afterAutospacing="0"/>
        <w:ind w:firstLine="360"/>
        <w:rPr>
          <w:rFonts w:ascii="等线" w:hAnsi="等线" w:eastAsia="等线"/>
          <w:sz w:val="21"/>
          <w:szCs w:val="21"/>
        </w:rPr>
      </w:pPr>
      <w:r>
        <w:rPr>
          <w:rFonts w:hint="eastAsia"/>
          <w:sz w:val="18"/>
          <w:szCs w:val="18"/>
        </w:rPr>
        <w:t>本公司子公司温岭甬岭水表有限公司于2020年12月1日获得浙江省科学技术厅、浙江省财政厅、浙江省国家税务局、浙江省地方税务局颁发的高新技术企业证书（证书编号：GR202033004484，有效期3年），公司自2020年1月1日起至2022年12月31日按15%税率征收企业所得税。</w:t>
      </w:r>
    </w:p>
    <w:p>
      <w:pPr>
        <w:pStyle w:val="11"/>
        <w:spacing w:before="40" w:beforeAutospacing="0" w:after="40" w:afterAutospacing="0"/>
        <w:ind w:firstLine="360"/>
        <w:rPr>
          <w:rFonts w:ascii="等线" w:hAnsi="等线" w:eastAsia="等线"/>
          <w:sz w:val="21"/>
          <w:szCs w:val="21"/>
        </w:rPr>
      </w:pPr>
      <w:r>
        <w:rPr>
          <w:rFonts w:hint="eastAsia"/>
          <w:sz w:val="18"/>
          <w:szCs w:val="18"/>
        </w:rPr>
        <w:t>根据财政部、国家税务总局《关于实施小微企业和个体工商户所得税优惠政策的公告》（2021年第12号）规定：自2021年1月1日至2022年12月31日，对小型微利企业年应纳税所得额不超过100万元的部分，在《关于实施小微企业普惠性税收减免政策的通知》（[2019]13号）第二条规定的优惠政策基础上，再减半征收企业所得税。本公司子公司杭州三川国德物联网科技有限公司2022年度按上述规定计算缴纳企业所得税。</w:t>
      </w:r>
    </w:p>
    <w:p>
      <w:pPr>
        <w:pStyle w:val="11"/>
        <w:spacing w:before="40" w:beforeAutospacing="0" w:after="40" w:afterAutospacing="0"/>
        <w:ind w:firstLine="360"/>
        <w:rPr>
          <w:rFonts w:ascii="等线" w:hAnsi="等线" w:eastAsia="等线"/>
          <w:sz w:val="21"/>
          <w:szCs w:val="21"/>
        </w:rPr>
      </w:pPr>
      <w:r>
        <w:rPr>
          <w:rFonts w:hint="eastAsia"/>
          <w:sz w:val="18"/>
          <w:szCs w:val="18"/>
        </w:rPr>
        <w:t>根据财政部、国家税务总局《国家发展改革委关于延续西部大开发企业所得税政策的公告》（财政部公告2020年第23号）规定：自2021年1月1日至2030年12月31日，对设在西部地区的鼓励类产业企业减按15%的税率征收企业所得税。鼓励类产业企业是指以《西部地区鼓励类产业目录》中规定的产业项目为主营业务，且其主营业务收入占企业收入总额60%以上的企业。本公司子公司赣州天和永磁材料有限公司2022年度按上述规定计算缴纳企业所得税。</w:t>
      </w:r>
    </w:p>
    <w:p>
      <w:pPr>
        <w:pStyle w:val="11"/>
        <w:spacing w:before="40" w:beforeAutospacing="0" w:after="40" w:afterAutospacing="0"/>
        <w:ind w:firstLine="360"/>
        <w:rPr>
          <w:rFonts w:ascii="等线" w:hAnsi="等线" w:eastAsia="等线"/>
          <w:sz w:val="21"/>
          <w:szCs w:val="21"/>
        </w:rPr>
      </w:pPr>
      <w:r>
        <w:rPr>
          <w:rFonts w:hint="eastAsia"/>
          <w:sz w:val="18"/>
          <w:szCs w:val="18"/>
        </w:rPr>
        <w:t>根据财政部、国家税务总局、国家发展改革委、生态环境部四部门关于公布《环境保护、节能节水项目企业所得税优惠目录（2021年版）》以及《资源综合利用企业所得税优惠目录（2021年版）》的公告，财政部、国家税务总局、国家发展改革委、生态环境部公告2021年第36号，生产国家非限制和非禁止并符合国家及行业相关标准的产品取得的收入，减按90%计入企业当年收入总额。本公司子公司赣州天和永磁材料有限公司2022年度按上述规定计算缴纳企业所得税。</w:t>
      </w:r>
    </w:p>
    <w:p>
      <w:pPr>
        <w:pStyle w:val="11"/>
        <w:spacing w:before="40" w:beforeAutospacing="0" w:after="40" w:afterAutospacing="0"/>
        <w:ind w:firstLine="360"/>
        <w:rPr>
          <w:rFonts w:ascii="等线" w:hAnsi="等线" w:eastAsia="等线"/>
          <w:sz w:val="21"/>
          <w:szCs w:val="21"/>
        </w:rPr>
      </w:pPr>
      <w:r>
        <w:rPr>
          <w:rFonts w:hint="eastAsia"/>
          <w:sz w:val="18"/>
          <w:szCs w:val="18"/>
        </w:rPr>
        <w:t>根据财政部、税务总局、科技部《关于加大支持科技创新税前扣除力度的公告》（财政部 税务总局 科技部公告2022年第28号）规定：高新技术企业在2022年10月1日至2022年12月31日期间新购置的设备、器具，允许当年一次性全额在计算应纳税所得额时扣除，并允许在税前实行100%加计扣除。本公司子公司温岭甬岭水表有限公司按上述规定计算缴纳企业所得税。</w:t>
      </w:r>
    </w:p>
    <w:p>
      <w:pPr>
        <w:pStyle w:val="3"/>
        <w:spacing w:before="300" w:after="300" w:line="320" w:lineRule="exact"/>
        <w:rPr>
          <w:rFonts w:ascii="宋体" w:hAnsi="宋体" w:eastAsia="宋体" w:cs="宋体"/>
          <w:b/>
          <w:bCs/>
          <w:sz w:val="24"/>
          <w:szCs w:val="24"/>
        </w:rPr>
      </w:pPr>
      <w:bookmarkStart w:id="218" w:name="_Toc989100"/>
      <w:r>
        <w:rPr>
          <w:rFonts w:ascii="宋体" w:hAnsi="宋体" w:eastAsia="宋体" w:cs="宋体"/>
          <w:b/>
          <w:bCs/>
          <w:sz w:val="24"/>
          <w:szCs w:val="24"/>
        </w:rPr>
        <w:t>七、合并财务报表项目注释</w:t>
      </w:r>
      <w:bookmarkEnd w:id="218"/>
    </w:p>
    <w:p>
      <w:pPr>
        <w:pStyle w:val="4"/>
        <w:spacing w:line="280" w:lineRule="exact"/>
        <w:jc w:val="left"/>
        <w:rPr>
          <w:rFonts w:ascii="宋体" w:hAnsi="宋体" w:cs="宋体"/>
          <w:b/>
          <w:bCs/>
        </w:rPr>
      </w:pPr>
      <w:bookmarkStart w:id="219" w:name="_Toc989101"/>
      <w:r>
        <w:rPr>
          <w:rFonts w:ascii="宋体" w:hAnsi="宋体" w:cs="宋体"/>
          <w:b/>
          <w:bCs/>
        </w:rPr>
        <w:t>1、货币资金</w:t>
      </w:r>
      <w:bookmarkEnd w:id="219"/>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银行存款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502,329,720.63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419,306,242.24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其他货币资金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10,033,527.47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18,786,999.04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512,363,248.10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438,093,241.28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900" w:firstLineChars="500"/>
              <w:rPr>
                <w:rFonts w:ascii="宋体" w:hAnsi="宋体" w:eastAsia="宋体" w:cs="宋体"/>
                <w:sz w:val="18"/>
                <w:szCs w:val="18"/>
              </w:rPr>
            </w:pPr>
            <w:r>
              <w:rPr>
                <w:rFonts w:ascii="宋体" w:hAnsi="宋体" w:eastAsia="宋体" w:cs="宋体"/>
                <w:sz w:val="18"/>
                <w:szCs w:val="18"/>
              </w:rPr>
              <w:t>因抵押、质押或冻结等对使用有限制的款项总额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10,033,527.47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18,786,999.04</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20" w:name="_Toc989102"/>
      <w:r>
        <w:rPr>
          <w:rFonts w:ascii="宋体" w:hAnsi="宋体" w:cs="宋体"/>
          <w:b/>
          <w:bCs/>
        </w:rPr>
        <w:t>2、应收票据</w:t>
      </w:r>
      <w:bookmarkEnd w:id="220"/>
    </w:p>
    <w:p>
      <w:pPr>
        <w:keepNext/>
        <w:keepLines/>
        <w:spacing w:before="300" w:after="300" w:line="280" w:lineRule="exact"/>
        <w:outlineLvl w:val="3"/>
        <w:rPr>
          <w:rFonts w:ascii="宋体" w:hAnsi="宋体" w:eastAsia="宋体" w:cs="宋体"/>
          <w:b/>
          <w:bCs/>
          <w:szCs w:val="21"/>
        </w:rPr>
      </w:pPr>
      <w:bookmarkStart w:id="221" w:name="_Toc989103"/>
      <w:r>
        <w:rPr>
          <w:rFonts w:ascii="宋体" w:hAnsi="宋体" w:eastAsia="宋体" w:cs="宋体"/>
          <w:b/>
          <w:bCs/>
          <w:szCs w:val="21"/>
        </w:rPr>
        <w:t>（1） 应收票据分类列示</w:t>
      </w:r>
      <w:bookmarkEnd w:id="221"/>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银行承兑票据</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17,481,040.88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12,839,887.30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商业承兑票据</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3,264,019.99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6,173,404.89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20,745,060.87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19,013,292.19</w:t>
            </w:r>
          </w:p>
        </w:tc>
      </w:tr>
    </w:tbl>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5"/>
        <w:gridCol w:w="876"/>
        <w:gridCol w:w="877"/>
        <w:gridCol w:w="876"/>
        <w:gridCol w:w="877"/>
        <w:gridCol w:w="876"/>
        <w:gridCol w:w="876"/>
        <w:gridCol w:w="877"/>
        <w:gridCol w:w="876"/>
        <w:gridCol w:w="877"/>
        <w:gridCol w:w="87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其中：</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按组合计提坏账准备的应收票据</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20,916,851.40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171,790.53</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0.82%</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20,745,060.87</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19,338,208.24</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324,916.05</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1.68%</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19,013,292.19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其中：</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银行承兑汇票组合</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17,481,040.88</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83.57%</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17,481,040.88</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12,839,887.30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66.40%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12,839,887.30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商业承兑汇票组合</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3,435,810.52</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16.43%</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171,790.53</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3,264,019.99</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6,498,320.94</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33.60%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324,916.05</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6,173,404.89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20,916,851.40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171,790.53</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0.82%</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20,745,060.87</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19,338,208.24</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324,916.05</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1.68%</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19,013,292.19</w:t>
            </w:r>
          </w:p>
        </w:tc>
      </w:tr>
    </w:tbl>
    <w:p>
      <w:pPr>
        <w:spacing w:line="240" w:lineRule="exact"/>
        <w:rPr>
          <w:rFonts w:ascii="宋体" w:hAnsi="宋体" w:eastAsia="宋体" w:cs="宋体"/>
          <w:sz w:val="18"/>
          <w:szCs w:val="18"/>
        </w:rPr>
      </w:pPr>
      <w:r>
        <w:rPr>
          <w:rFonts w:ascii="宋体" w:hAnsi="宋体" w:eastAsia="宋体" w:cs="宋体"/>
          <w:sz w:val="18"/>
          <w:szCs w:val="18"/>
        </w:rPr>
        <w:t>按组合计提坏账准备：171,790.53</w:t>
      </w:r>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722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银行承兑汇票组合</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17,481,040.88</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商业承兑汇票组合</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3,435,810.52</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171,790.53</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20,916,851.40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171,790.53</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r>
    </w:tbl>
    <w:p>
      <w:pPr>
        <w:spacing w:before="100" w:after="100" w:line="240" w:lineRule="exact"/>
      </w:pPr>
      <w:r>
        <w:rPr>
          <w:rFonts w:ascii="宋体" w:hAnsi="宋体" w:eastAsia="宋体" w:cs="宋体"/>
          <w:sz w:val="18"/>
          <w:szCs w:val="18"/>
        </w:rPr>
        <w:t>确定该组合依据的说明：</w:t>
      </w:r>
    </w:p>
    <w:p>
      <w:pPr>
        <w:spacing w:before="100" w:after="100" w:line="240" w:lineRule="exact"/>
        <w:rPr>
          <w:rFonts w:ascii="宋体" w:hAnsi="宋体" w:eastAsia="宋体" w:cs="宋体"/>
          <w:sz w:val="18"/>
          <w:szCs w:val="18"/>
        </w:rPr>
      </w:pPr>
      <w:r>
        <w:rPr>
          <w:rFonts w:ascii="宋体" w:hAnsi="宋体" w:eastAsia="宋体" w:cs="宋体"/>
          <w:sz w:val="18"/>
          <w:szCs w:val="18"/>
        </w:rPr>
        <w:t>如是按照预期信用损失一般模型计提应收票据坏账准备，请参照其他应收款的披露方式披露坏账准备的相关信息：</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keepNext/>
        <w:keepLines/>
        <w:spacing w:before="300" w:after="300" w:line="280" w:lineRule="exact"/>
        <w:outlineLvl w:val="3"/>
        <w:rPr>
          <w:rFonts w:ascii="宋体" w:hAnsi="宋体" w:eastAsia="宋体" w:cs="宋体"/>
          <w:b/>
          <w:bCs/>
          <w:szCs w:val="21"/>
        </w:rPr>
      </w:pPr>
      <w:bookmarkStart w:id="222" w:name="_Toc989104"/>
      <w:r>
        <w:rPr>
          <w:rFonts w:ascii="宋体" w:hAnsi="宋体" w:eastAsia="宋体" w:cs="宋体"/>
          <w:b/>
          <w:bCs/>
          <w:szCs w:val="21"/>
        </w:rPr>
        <w:t>（2） 本期计提、收回或转回的坏账准备情况</w:t>
      </w:r>
      <w:bookmarkEnd w:id="222"/>
    </w:p>
    <w:p>
      <w:pPr>
        <w:spacing w:line="240" w:lineRule="exact"/>
        <w:rPr>
          <w:rFonts w:ascii="宋体" w:hAnsi="宋体" w:eastAsia="宋体" w:cs="宋体"/>
          <w:sz w:val="18"/>
          <w:szCs w:val="18"/>
        </w:rPr>
      </w:pPr>
      <w:r>
        <w:rPr>
          <w:rFonts w:ascii="宋体" w:hAnsi="宋体" w:eastAsia="宋体" w:cs="宋体"/>
          <w:sz w:val="18"/>
          <w:szCs w:val="18"/>
        </w:rPr>
        <w:t>本期计提坏账准备情况：</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508"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本期变动金额</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核销</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商业承兑汇票组合</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324,916.05</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153,125.52</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171,790.53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324,916.05</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153,125.52</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171,790.53</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其中本期坏账准备收回或转回金额重要的：</w:t>
      </w:r>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keepNext/>
        <w:keepLines/>
        <w:spacing w:before="300" w:after="300" w:line="280" w:lineRule="exact"/>
        <w:outlineLvl w:val="3"/>
        <w:rPr>
          <w:rFonts w:ascii="宋体" w:hAnsi="宋体" w:eastAsia="宋体" w:cs="宋体"/>
          <w:b/>
          <w:bCs/>
          <w:szCs w:val="21"/>
        </w:rPr>
      </w:pPr>
      <w:bookmarkStart w:id="223" w:name="_Toc989105"/>
      <w:r>
        <w:rPr>
          <w:rFonts w:ascii="宋体" w:hAnsi="宋体" w:eastAsia="宋体" w:cs="宋体"/>
          <w:b/>
          <w:bCs/>
          <w:szCs w:val="21"/>
        </w:rPr>
        <w:t>（3） 期末公司已背书或贴现且在资产负债表日尚未到期的应收票据</w:t>
      </w:r>
      <w:bookmarkEnd w:id="223"/>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期末终止确认金额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期末未终止确认金额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银行承兑票据</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8,068,578.58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8,068,578.58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keepNext/>
        <w:keepLines/>
        <w:spacing w:before="300" w:after="300" w:line="280" w:lineRule="exact"/>
        <w:outlineLvl w:val="3"/>
        <w:rPr>
          <w:rFonts w:ascii="宋体" w:hAnsi="宋体" w:eastAsia="宋体" w:cs="宋体"/>
          <w:b/>
          <w:bCs/>
          <w:szCs w:val="21"/>
        </w:rPr>
      </w:pPr>
      <w:bookmarkStart w:id="224" w:name="_Toc989106"/>
      <w:r>
        <w:rPr>
          <w:rFonts w:ascii="宋体" w:hAnsi="宋体" w:eastAsia="宋体" w:cs="宋体"/>
          <w:b/>
          <w:bCs/>
          <w:szCs w:val="21"/>
        </w:rPr>
        <w:t>（4） 期末公司因出票人未履约而将其转应收账款的票据</w:t>
      </w:r>
      <w:bookmarkEnd w:id="224"/>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期末转应收账款金额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商业承兑票据</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113,185.00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113,185.00</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25" w:name="_Toc989107"/>
      <w:r>
        <w:rPr>
          <w:rFonts w:ascii="宋体" w:hAnsi="宋体" w:cs="宋体"/>
          <w:b/>
          <w:bCs/>
        </w:rPr>
        <w:t>3、应收账款</w:t>
      </w:r>
      <w:bookmarkEnd w:id="225"/>
    </w:p>
    <w:p>
      <w:pPr>
        <w:keepNext/>
        <w:keepLines/>
        <w:spacing w:before="300" w:after="300" w:line="280" w:lineRule="exact"/>
        <w:outlineLvl w:val="3"/>
        <w:rPr>
          <w:rFonts w:ascii="宋体" w:hAnsi="宋体" w:eastAsia="宋体" w:cs="宋体"/>
          <w:b/>
          <w:bCs/>
          <w:szCs w:val="21"/>
        </w:rPr>
      </w:pPr>
      <w:bookmarkStart w:id="226" w:name="_Toc989108"/>
      <w:r>
        <w:rPr>
          <w:rFonts w:ascii="宋体" w:hAnsi="宋体" w:eastAsia="宋体" w:cs="宋体"/>
          <w:b/>
          <w:bCs/>
          <w:szCs w:val="21"/>
        </w:rPr>
        <w:t>（1） 应收账款分类披露</w:t>
      </w:r>
      <w:bookmarkEnd w:id="226"/>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5"/>
        <w:gridCol w:w="876"/>
        <w:gridCol w:w="877"/>
        <w:gridCol w:w="876"/>
        <w:gridCol w:w="877"/>
        <w:gridCol w:w="876"/>
        <w:gridCol w:w="876"/>
        <w:gridCol w:w="877"/>
        <w:gridCol w:w="876"/>
        <w:gridCol w:w="877"/>
        <w:gridCol w:w="87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按单项计提坏账准备的应收账款</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11,786,492.60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11,786,492.60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10,379,166.69</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1.44%</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10,379,166.69</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其中：</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按组合计提坏账准备的应收账款</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726,918,055.37</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98.40%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135,698,855.48</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18.67%</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591,219,199.89</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712,703,064.73</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98.56%</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114,672,849.26</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16.09%</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598,030,215.47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其中：</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其他客户组合</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726,918,055.37</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98.40%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135,698,855.48</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18.67%</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591,219,199.89</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712,703,064.73</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98.56%</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114,672,849.26</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16.09%</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598,030,215.47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738,704,547.97</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147,485,348.08</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19.97%</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591,219,199.89</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723,082,231.42</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125,052,015.95</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17.29%</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598,030,215.47</w:t>
            </w:r>
          </w:p>
        </w:tc>
      </w:tr>
    </w:tbl>
    <w:p>
      <w:pPr>
        <w:spacing w:line="240" w:lineRule="exact"/>
        <w:rPr>
          <w:rFonts w:ascii="宋体" w:hAnsi="宋体" w:eastAsia="宋体" w:cs="宋体"/>
          <w:sz w:val="18"/>
          <w:szCs w:val="18"/>
        </w:rPr>
      </w:pPr>
      <w:r>
        <w:rPr>
          <w:rFonts w:ascii="宋体" w:hAnsi="宋体" w:eastAsia="宋体" w:cs="宋体"/>
          <w:sz w:val="18"/>
          <w:szCs w:val="18"/>
        </w:rPr>
        <w:t>按单项计提坏账准备：11,786,492.60</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10"/>
        <w:gridCol w:w="1445"/>
        <w:gridCol w:w="1674"/>
        <w:gridCol w:w="1275"/>
        <w:gridCol w:w="283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7229"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44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67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27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283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计提理由</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安庆正大机电设备有限公司</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2,270,184.76</w:t>
            </w:r>
          </w:p>
        </w:tc>
        <w:tc>
          <w:tcPr>
            <w:tcW w:w="16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2,270,184.76</w:t>
            </w: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283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预计后续款项收回可能性较小，故全额计提坏账准备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银川中铁水务集团二次供水有限公司</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385,725.00</w:t>
            </w:r>
          </w:p>
        </w:tc>
        <w:tc>
          <w:tcPr>
            <w:tcW w:w="16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385,725.00</w:t>
            </w: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283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预计后续款项收回可能性较小，故全额计提坏账准备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银川中铁水务集团市政工程有限公司</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588,961.90</w:t>
            </w:r>
          </w:p>
        </w:tc>
        <w:tc>
          <w:tcPr>
            <w:tcW w:w="16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588,961.90</w:t>
            </w: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283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预计后续款项收回可能性较小，故全额计提坏账准备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云浮市云安区粤海供水有限公司</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11,000.00</w:t>
            </w:r>
          </w:p>
        </w:tc>
        <w:tc>
          <w:tcPr>
            <w:tcW w:w="16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11,000.00</w:t>
            </w: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283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预计后续款项收回可能性较小，故全额计提坏账准备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天台县平镇自来水有限公司</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9,561.50</w:t>
            </w:r>
          </w:p>
        </w:tc>
        <w:tc>
          <w:tcPr>
            <w:tcW w:w="16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9,561.50</w:t>
            </w: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283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预计后续款项收回可能性较小，故全额计提坏账准备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SITEXLTD.(METER)</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8,120,079.44</w:t>
            </w:r>
          </w:p>
        </w:tc>
        <w:tc>
          <w:tcPr>
            <w:tcW w:w="16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8,120,079.44</w:t>
            </w: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283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该客户美元结算资金受管制，经营状态存在重大风险，预计后续款项收回可能性较小，故全额计提坏账准备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合肥淏笙贸易有限公司</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162,200.00</w:t>
            </w:r>
          </w:p>
        </w:tc>
        <w:tc>
          <w:tcPr>
            <w:tcW w:w="16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162,200.00</w:t>
            </w: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283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预计后续款项收回可能性较小，故全额计提坏账准备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恒大地产鹰潭有限公司</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110,500.00</w:t>
            </w:r>
          </w:p>
        </w:tc>
        <w:tc>
          <w:tcPr>
            <w:tcW w:w="16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110,500.00</w:t>
            </w: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283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预计后续款项收回可能性较小，故全额计提坏账准备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新余市金宏贸易有限公司</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128,280.00</w:t>
            </w:r>
          </w:p>
        </w:tc>
        <w:tc>
          <w:tcPr>
            <w:tcW w:w="16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128,280.00</w:t>
            </w:r>
          </w:p>
        </w:tc>
        <w:tc>
          <w:tcPr>
            <w:tcW w:w="127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283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预计后续款项收回可能性较小，故全额计提坏账准备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44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11,786,492.60</w:t>
            </w:r>
          </w:p>
        </w:tc>
        <w:tc>
          <w:tcPr>
            <w:tcW w:w="16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11,786,492.60</w:t>
            </w:r>
          </w:p>
        </w:tc>
        <w:tc>
          <w:tcPr>
            <w:tcW w:w="1275"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835" w:type="dxa"/>
            <w:tcBorders>
              <w:top w:val="single" w:color="auto" w:sz="2" w:space="0"/>
              <w:left w:val="single" w:color="auto" w:sz="2" w:space="0"/>
              <w:bottom w:val="single" w:color="auto" w:sz="2" w:space="0"/>
              <w:right w:val="single" w:color="auto" w:sz="2" w:space="0"/>
            </w:tcBorders>
            <w:shd w:val="clear" w:color="auto" w:fill="D3D3D3"/>
            <w:vAlign w:val="center"/>
          </w:tcPr>
          <w:p/>
        </w:tc>
      </w:tr>
    </w:tbl>
    <w:p>
      <w:pPr>
        <w:spacing w:line="240" w:lineRule="exact"/>
        <w:rPr>
          <w:rFonts w:ascii="宋体" w:hAnsi="宋体" w:eastAsia="宋体" w:cs="宋体"/>
          <w:sz w:val="18"/>
          <w:szCs w:val="18"/>
        </w:rPr>
      </w:pPr>
      <w:r>
        <w:rPr>
          <w:rFonts w:ascii="宋体" w:hAnsi="宋体" w:eastAsia="宋体" w:cs="宋体"/>
          <w:sz w:val="18"/>
          <w:szCs w:val="18"/>
        </w:rPr>
        <w:t>按组合计提坏账准备：135,698,855.48</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722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账龄1年以内</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381,004,501.92</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19,050,225.11</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账龄1至2年</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130,600,525.84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13,060,052.58</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账龄2至3年</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129,138,358.95</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38,741,507.69</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账龄3至4年</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42,655,197.13</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21,327,598.57</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账龄4至5年</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12,089,378.32</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12,089,378.32</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账龄5年以上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31,430,093.21</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31,430,093.21</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726,918,055.37</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135,698,855.48</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r>
    </w:tbl>
    <w:p>
      <w:pPr>
        <w:spacing w:before="100" w:after="100" w:line="240" w:lineRule="exact"/>
      </w:pPr>
      <w:r>
        <w:rPr>
          <w:rFonts w:ascii="宋体" w:hAnsi="宋体" w:eastAsia="宋体" w:cs="宋体"/>
          <w:sz w:val="18"/>
          <w:szCs w:val="18"/>
        </w:rPr>
        <w:t>确定该组合依据的说明：</w:t>
      </w:r>
    </w:p>
    <w:p>
      <w:pPr>
        <w:spacing w:before="100" w:after="100" w:line="240" w:lineRule="exact"/>
        <w:rPr>
          <w:rFonts w:ascii="宋体" w:hAnsi="宋体" w:eastAsia="宋体" w:cs="宋体"/>
          <w:sz w:val="18"/>
          <w:szCs w:val="18"/>
        </w:rPr>
      </w:pPr>
      <w:r>
        <w:rPr>
          <w:rFonts w:ascii="宋体" w:hAnsi="宋体" w:eastAsia="宋体" w:cs="宋体"/>
          <w:sz w:val="18"/>
          <w:szCs w:val="18"/>
        </w:rPr>
        <w:t>如是按照预期信用损失一般模型计提应收账款坏账准备，请参照其他应收款的披露方式披露坏账准备的相关信息：</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spacing w:line="240" w:lineRule="exact"/>
        <w:rPr>
          <w:rFonts w:ascii="宋体" w:hAnsi="宋体" w:eastAsia="宋体" w:cs="宋体"/>
          <w:sz w:val="18"/>
          <w:szCs w:val="18"/>
        </w:rPr>
      </w:pPr>
      <w:r>
        <w:rPr>
          <w:rFonts w:ascii="宋体" w:hAnsi="宋体" w:eastAsia="宋体" w:cs="宋体"/>
          <w:sz w:val="18"/>
          <w:szCs w:val="18"/>
        </w:rPr>
        <w:t>按账龄披露</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账龄</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1年以内（含1年）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381,004,501.92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1至2年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130,612,700.84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2至3年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131,528,543.71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3年以上</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95,558,801.50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3至4年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43,005,726.63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4至5年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12,089,378.32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5年以上</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40,463,696.55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738,704,547.97</w:t>
            </w:r>
          </w:p>
        </w:tc>
      </w:tr>
    </w:tbl>
    <w:p>
      <w:pPr>
        <w:keepNext/>
        <w:keepLines/>
        <w:spacing w:before="300" w:after="300" w:line="280" w:lineRule="exact"/>
        <w:outlineLvl w:val="3"/>
        <w:rPr>
          <w:rFonts w:ascii="宋体" w:hAnsi="宋体" w:eastAsia="宋体" w:cs="宋体"/>
          <w:b/>
          <w:bCs/>
          <w:szCs w:val="21"/>
        </w:rPr>
      </w:pPr>
      <w:bookmarkStart w:id="227" w:name="_Toc989109"/>
      <w:r>
        <w:rPr>
          <w:rFonts w:ascii="宋体" w:hAnsi="宋体" w:eastAsia="宋体" w:cs="宋体"/>
          <w:b/>
          <w:bCs/>
          <w:szCs w:val="21"/>
        </w:rPr>
        <w:t>（2） 本期计提、收回或转回的坏账准备情况</w:t>
      </w:r>
      <w:bookmarkEnd w:id="227"/>
    </w:p>
    <w:p>
      <w:pPr>
        <w:spacing w:line="240" w:lineRule="exact"/>
        <w:rPr>
          <w:rFonts w:ascii="宋体" w:hAnsi="宋体" w:eastAsia="宋体" w:cs="宋体"/>
          <w:sz w:val="18"/>
          <w:szCs w:val="18"/>
        </w:rPr>
      </w:pPr>
      <w:r>
        <w:rPr>
          <w:rFonts w:ascii="宋体" w:hAnsi="宋体" w:eastAsia="宋体" w:cs="宋体"/>
          <w:sz w:val="18"/>
          <w:szCs w:val="18"/>
        </w:rPr>
        <w:t>本期计提坏账准备情况：</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600"/>
        <w:gridCol w:w="1418"/>
        <w:gridCol w:w="1113"/>
        <w:gridCol w:w="1377"/>
        <w:gridCol w:w="1195"/>
        <w:gridCol w:w="155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60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103"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本期变动金额</w:t>
            </w:r>
          </w:p>
        </w:tc>
        <w:tc>
          <w:tcPr>
            <w:tcW w:w="1559"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60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1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核销</w:t>
            </w:r>
          </w:p>
        </w:tc>
        <w:tc>
          <w:tcPr>
            <w:tcW w:w="119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559"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单项计提</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10,379,166.69</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1,279,045.91</w:t>
            </w:r>
          </w:p>
        </w:tc>
        <w:tc>
          <w:tcPr>
            <w:tcW w:w="11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128,280.00</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11,786,492.60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组合计提</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114,672,849.26</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21,659,806.03</w:t>
            </w:r>
          </w:p>
        </w:tc>
        <w:tc>
          <w:tcPr>
            <w:tcW w:w="11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5,737.45</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1,063,091.55</w:t>
            </w:r>
          </w:p>
        </w:tc>
        <w:tc>
          <w:tcPr>
            <w:tcW w:w="11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435,029.19</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135,698,855.48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125,052,015.95</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22,938,851.94</w:t>
            </w:r>
          </w:p>
        </w:tc>
        <w:tc>
          <w:tcPr>
            <w:tcW w:w="11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5,737.45</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1,063,091.55</w:t>
            </w:r>
          </w:p>
        </w:tc>
        <w:tc>
          <w:tcPr>
            <w:tcW w:w="11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563,309.19</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147,485,348.08</w:t>
            </w:r>
          </w:p>
        </w:tc>
      </w:tr>
    </w:tbl>
    <w:p>
      <w:pPr>
        <w:spacing w:before="100" w:after="100" w:line="240" w:lineRule="exact"/>
      </w:pPr>
      <w:r>
        <w:rPr>
          <w:rFonts w:ascii="宋体" w:hAnsi="宋体" w:eastAsia="宋体" w:cs="宋体"/>
          <w:sz w:val="18"/>
          <w:szCs w:val="18"/>
        </w:rPr>
        <w:t>其中本期坏账准备收回或转回金额重要的：</w:t>
      </w:r>
    </w:p>
    <w:p>
      <w:pPr>
        <w:keepNext/>
        <w:keepLines/>
        <w:spacing w:before="300" w:after="300" w:line="280" w:lineRule="exact"/>
        <w:outlineLvl w:val="3"/>
        <w:rPr>
          <w:rFonts w:ascii="宋体" w:hAnsi="宋体" w:eastAsia="宋体" w:cs="宋体"/>
          <w:b/>
          <w:bCs/>
          <w:szCs w:val="21"/>
        </w:rPr>
      </w:pPr>
      <w:bookmarkStart w:id="228" w:name="_Toc989110"/>
      <w:r>
        <w:rPr>
          <w:rFonts w:ascii="宋体" w:hAnsi="宋体" w:eastAsia="宋体" w:cs="宋体"/>
          <w:b/>
          <w:bCs/>
          <w:szCs w:val="21"/>
        </w:rPr>
        <w:t>（3） 本期实际核销的应收账款情况</w:t>
      </w:r>
      <w:bookmarkEnd w:id="228"/>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实际核销的应收账款</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1,063,091.55</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其中重要的应收账款核销情况：</w:t>
      </w:r>
    </w:p>
    <w:p>
      <w:pPr>
        <w:spacing w:before="100" w:after="100" w:line="240" w:lineRule="exact"/>
      </w:pPr>
      <w:r>
        <w:rPr>
          <w:rFonts w:ascii="宋体" w:hAnsi="宋体" w:eastAsia="宋体" w:cs="宋体"/>
          <w:sz w:val="18"/>
          <w:szCs w:val="18"/>
        </w:rPr>
        <w:t>应收账款核销说明：</w:t>
      </w:r>
    </w:p>
    <w:p>
      <w:pPr>
        <w:keepNext/>
        <w:keepLines/>
        <w:spacing w:before="300" w:after="300" w:line="280" w:lineRule="exact"/>
        <w:outlineLvl w:val="3"/>
        <w:rPr>
          <w:rFonts w:ascii="宋体" w:hAnsi="宋体" w:eastAsia="宋体" w:cs="宋体"/>
          <w:b/>
          <w:bCs/>
          <w:szCs w:val="21"/>
        </w:rPr>
      </w:pPr>
      <w:bookmarkStart w:id="229" w:name="_Toc989111"/>
      <w:r>
        <w:rPr>
          <w:rFonts w:ascii="宋体" w:hAnsi="宋体" w:eastAsia="宋体" w:cs="宋体"/>
          <w:b/>
          <w:bCs/>
          <w:szCs w:val="21"/>
        </w:rPr>
        <w:t>（4） 按欠款方归集的期末余额前五名的应收账款情况</w:t>
      </w:r>
      <w:bookmarkEnd w:id="229"/>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应收账款期末余额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占应收账款期末余额合计数的比例</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客户一</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67,435,003.55</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9.13%</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16,625,117.97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客户二</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48,491,770.90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6.56%</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8,027,661.12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客户三</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30,840,229.98</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4.17%</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2,804,549.31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客户四</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23,854,782.00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3.23%</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3,725,025.70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客户五</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14,950,000.00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2.02%</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747,500.00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185,571,786.43</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25.11%</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r>
    </w:tbl>
    <w:p>
      <w:pPr>
        <w:keepNext/>
        <w:keepLines/>
        <w:spacing w:before="300" w:after="300" w:line="280" w:lineRule="exact"/>
        <w:outlineLvl w:val="3"/>
        <w:rPr>
          <w:rFonts w:ascii="宋体" w:hAnsi="宋体" w:eastAsia="宋体" w:cs="宋体"/>
          <w:b/>
          <w:bCs/>
          <w:szCs w:val="21"/>
        </w:rPr>
      </w:pPr>
      <w:bookmarkStart w:id="230" w:name="_Toc989112"/>
      <w:r>
        <w:rPr>
          <w:rFonts w:ascii="宋体" w:hAnsi="宋体" w:eastAsia="宋体" w:cs="宋体"/>
          <w:b/>
          <w:bCs/>
          <w:szCs w:val="21"/>
        </w:rPr>
        <w:t>（5） 因金融资产转移而终止确认的应收账款</w:t>
      </w:r>
      <w:bookmarkEnd w:id="230"/>
    </w:p>
    <w:p>
      <w:pPr>
        <w:pStyle w:val="11"/>
        <w:rPr>
          <w:sz w:val="18"/>
          <w:szCs w:val="18"/>
        </w:rPr>
      </w:pPr>
      <w:r>
        <w:rPr>
          <w:rFonts w:hint="eastAsia"/>
          <w:sz w:val="18"/>
          <w:szCs w:val="18"/>
        </w:rPr>
        <w:t>无</w:t>
      </w:r>
    </w:p>
    <w:p>
      <w:pPr>
        <w:keepNext/>
        <w:keepLines/>
        <w:spacing w:before="300" w:after="300" w:line="280" w:lineRule="exact"/>
        <w:outlineLvl w:val="3"/>
        <w:rPr>
          <w:rFonts w:ascii="宋体" w:hAnsi="宋体" w:eastAsia="宋体" w:cs="宋体"/>
          <w:b/>
          <w:bCs/>
          <w:szCs w:val="21"/>
        </w:rPr>
      </w:pPr>
      <w:bookmarkStart w:id="231" w:name="_Toc989113"/>
      <w:r>
        <w:rPr>
          <w:rFonts w:ascii="宋体" w:hAnsi="宋体" w:eastAsia="宋体" w:cs="宋体"/>
          <w:b/>
          <w:bCs/>
          <w:szCs w:val="21"/>
        </w:rPr>
        <w:t>（6） 转移应收账款且继续涉入形成的资产、负债金额</w:t>
      </w:r>
      <w:bookmarkEnd w:id="231"/>
    </w:p>
    <w:p>
      <w:pPr>
        <w:pStyle w:val="11"/>
        <w:rPr>
          <w:sz w:val="18"/>
          <w:szCs w:val="18"/>
        </w:rPr>
      </w:pPr>
      <w:r>
        <w:rPr>
          <w:rFonts w:hint="eastAsia"/>
          <w:sz w:val="18"/>
          <w:szCs w:val="18"/>
        </w:rPr>
        <w:t>无</w:t>
      </w:r>
    </w:p>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32" w:name="_Toc989114"/>
      <w:r>
        <w:rPr>
          <w:rFonts w:ascii="宋体" w:hAnsi="宋体" w:cs="宋体"/>
          <w:b/>
          <w:bCs/>
        </w:rPr>
        <w:t>4、预付款项</w:t>
      </w:r>
      <w:bookmarkEnd w:id="232"/>
    </w:p>
    <w:p>
      <w:pPr>
        <w:keepNext/>
        <w:keepLines/>
        <w:spacing w:before="300" w:after="300" w:line="280" w:lineRule="exact"/>
        <w:outlineLvl w:val="3"/>
        <w:rPr>
          <w:rFonts w:ascii="宋体" w:hAnsi="宋体" w:eastAsia="宋体" w:cs="宋体"/>
          <w:b/>
          <w:bCs/>
          <w:szCs w:val="21"/>
        </w:rPr>
      </w:pPr>
      <w:bookmarkStart w:id="233" w:name="_Toc989115"/>
      <w:r>
        <w:rPr>
          <w:rFonts w:ascii="宋体" w:hAnsi="宋体" w:eastAsia="宋体" w:cs="宋体"/>
          <w:b/>
          <w:bCs/>
          <w:szCs w:val="21"/>
        </w:rPr>
        <w:t>（1） 预付款项按账龄列示</w:t>
      </w:r>
      <w:bookmarkEnd w:id="233"/>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账龄</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1年以内</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92,611,489.92</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96.91%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6,704,871.10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71.34%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1至2年</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1,443,794.49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535,369.77</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2至3年</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123,682.19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0.13%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1,979,186.06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3年以上</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1,386,826.26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1.45%</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179,260.10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95,565,792.86</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9,398,687.03</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bl>
    <w:p>
      <w:pPr>
        <w:spacing w:before="100" w:after="100" w:line="240" w:lineRule="exact"/>
        <w:rPr>
          <w:rFonts w:ascii="宋体" w:hAnsi="宋体" w:eastAsia="宋体" w:cs="宋体"/>
          <w:sz w:val="18"/>
          <w:szCs w:val="18"/>
        </w:rPr>
      </w:pPr>
      <w:r>
        <w:rPr>
          <w:rFonts w:ascii="宋体" w:hAnsi="宋体" w:eastAsia="宋体" w:cs="宋体"/>
          <w:sz w:val="18"/>
          <w:szCs w:val="18"/>
        </w:rPr>
        <w:t>账龄超过1年且金额重要的预付款项未及时结算原因的说明：</w:t>
      </w:r>
    </w:p>
    <w:p>
      <w:pPr>
        <w:pStyle w:val="11"/>
        <w:spacing w:before="120" w:beforeAutospacing="0" w:after="120" w:afterAutospacing="0" w:line="276" w:lineRule="auto"/>
        <w:rPr>
          <w:rFonts w:cs="Calibri"/>
          <w:sz w:val="18"/>
          <w:szCs w:val="18"/>
        </w:rPr>
      </w:pPr>
      <w:r>
        <w:rPr>
          <w:rFonts w:hint="eastAsia" w:cs="Calibri"/>
          <w:color w:val="000000"/>
          <w:sz w:val="18"/>
          <w:szCs w:val="18"/>
        </w:rPr>
        <w:t>期末无账龄超过</w:t>
      </w:r>
      <w:r>
        <w:rPr>
          <w:rFonts w:cs="Times New Roman"/>
          <w:color w:val="000000"/>
          <w:sz w:val="18"/>
          <w:szCs w:val="18"/>
        </w:rPr>
        <w:t>1</w:t>
      </w:r>
      <w:r>
        <w:rPr>
          <w:rFonts w:hint="eastAsia" w:cs="Calibri"/>
          <w:color w:val="000000"/>
          <w:sz w:val="18"/>
          <w:szCs w:val="18"/>
        </w:rPr>
        <w:t>年且金额重要的预付款项。</w:t>
      </w:r>
    </w:p>
    <w:p>
      <w:pPr>
        <w:keepNext/>
        <w:keepLines/>
        <w:spacing w:before="300" w:after="300" w:line="280" w:lineRule="exact"/>
        <w:outlineLvl w:val="3"/>
        <w:rPr>
          <w:rFonts w:ascii="宋体" w:hAnsi="宋体" w:eastAsia="宋体" w:cs="宋体"/>
          <w:b/>
          <w:bCs/>
          <w:szCs w:val="21"/>
        </w:rPr>
      </w:pPr>
      <w:bookmarkStart w:id="234" w:name="_Toc989116"/>
      <w:r>
        <w:rPr>
          <w:rFonts w:ascii="宋体" w:hAnsi="宋体" w:eastAsia="宋体" w:cs="宋体"/>
          <w:b/>
          <w:bCs/>
          <w:szCs w:val="21"/>
        </w:rPr>
        <w:t>（2） 按预付对象归集的期末余额前五名的预付款情况</w:t>
      </w:r>
      <w:bookmarkEnd w:id="234"/>
    </w:p>
    <w:tbl>
      <w:tblPr>
        <w:tblStyle w:val="1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2576"/>
        <w:gridCol w:w="1308"/>
        <w:gridCol w:w="1407"/>
        <w:gridCol w:w="1996"/>
        <w:gridCol w:w="1187"/>
        <w:gridCol w:w="12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3" w:hRule="atLeast"/>
          <w:tblHeader/>
        </w:trPr>
        <w:tc>
          <w:tcPr>
            <w:tcW w:w="929" w:type="pct"/>
            <w:noWrap/>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单位名称</w:t>
            </w:r>
          </w:p>
        </w:tc>
        <w:tc>
          <w:tcPr>
            <w:tcW w:w="754" w:type="pct"/>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与本公司关系</w:t>
            </w:r>
          </w:p>
        </w:tc>
        <w:tc>
          <w:tcPr>
            <w:tcW w:w="805" w:type="pct"/>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期末余额</w:t>
            </w:r>
          </w:p>
        </w:tc>
        <w:tc>
          <w:tcPr>
            <w:tcW w:w="1109" w:type="pct"/>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占预付款项期末余额合计数的比例（</w:t>
            </w:r>
            <w:r>
              <w:rPr>
                <w:rFonts w:cs="Times New Roman"/>
                <w:sz w:val="18"/>
                <w:szCs w:val="18"/>
              </w:rPr>
              <w:t>%</w:t>
            </w:r>
            <w:r>
              <w:rPr>
                <w:rFonts w:hint="eastAsia" w:cs="Times New Roman"/>
                <w:sz w:val="18"/>
                <w:szCs w:val="18"/>
              </w:rPr>
              <w:t>）</w:t>
            </w:r>
          </w:p>
        </w:tc>
        <w:tc>
          <w:tcPr>
            <w:tcW w:w="692" w:type="pct"/>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预付款时间</w:t>
            </w:r>
          </w:p>
        </w:tc>
        <w:tc>
          <w:tcPr>
            <w:tcW w:w="708" w:type="pct"/>
            <w:noWrap/>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未结算原因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929" w:type="pct"/>
            <w:noWrap/>
            <w:tcMar>
              <w:top w:w="0" w:type="dxa"/>
              <w:left w:w="28" w:type="dxa"/>
              <w:bottom w:w="0" w:type="dxa"/>
              <w:right w:w="28" w:type="dxa"/>
            </w:tcMar>
            <w:vAlign w:val="center"/>
          </w:tcPr>
          <w:p>
            <w:pPr>
              <w:pStyle w:val="11"/>
              <w:spacing w:before="0" w:beforeAutospacing="0" w:after="0" w:afterAutospacing="0"/>
              <w:rPr>
                <w:rFonts w:cs="Times New Roman"/>
                <w:sz w:val="18"/>
                <w:szCs w:val="18"/>
              </w:rPr>
            </w:pPr>
            <w:r>
              <w:rPr>
                <w:rFonts w:hint="eastAsia" w:cs="Times New Roman"/>
                <w:sz w:val="18"/>
                <w:szCs w:val="18"/>
              </w:rPr>
              <w:t>北京铂宇天地科技发展有限公司</w:t>
            </w:r>
          </w:p>
        </w:tc>
        <w:tc>
          <w:tcPr>
            <w:tcW w:w="754" w:type="pct"/>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无关联关系</w:t>
            </w:r>
          </w:p>
        </w:tc>
        <w:tc>
          <w:tcPr>
            <w:tcW w:w="805" w:type="pct"/>
            <w:noWrap/>
            <w:tcMar>
              <w:top w:w="0" w:type="dxa"/>
              <w:left w:w="28" w:type="dxa"/>
              <w:bottom w:w="0" w:type="dxa"/>
              <w:right w:w="28" w:type="dxa"/>
            </w:tcMar>
            <w:vAlign w:val="center"/>
          </w:tcPr>
          <w:p>
            <w:pPr>
              <w:pStyle w:val="11"/>
              <w:spacing w:before="0" w:beforeAutospacing="0" w:after="0" w:afterAutospacing="0"/>
              <w:jc w:val="right"/>
              <w:rPr>
                <w:rFonts w:cs="Times New Roman"/>
                <w:sz w:val="18"/>
                <w:szCs w:val="18"/>
              </w:rPr>
            </w:pPr>
            <w:r>
              <w:rPr>
                <w:rFonts w:cs="Times New Roman"/>
                <w:sz w:val="18"/>
                <w:szCs w:val="18"/>
              </w:rPr>
              <w:t>30,000,000.00</w:t>
            </w:r>
          </w:p>
        </w:tc>
        <w:tc>
          <w:tcPr>
            <w:tcW w:w="1109" w:type="pct"/>
            <w:tcMar>
              <w:top w:w="0" w:type="dxa"/>
              <w:left w:w="28" w:type="dxa"/>
              <w:bottom w:w="0" w:type="dxa"/>
              <w:right w:w="28" w:type="dxa"/>
            </w:tcMar>
            <w:vAlign w:val="center"/>
          </w:tcPr>
          <w:p>
            <w:pPr>
              <w:pStyle w:val="11"/>
              <w:spacing w:before="0" w:beforeAutospacing="0" w:after="0" w:afterAutospacing="0"/>
              <w:jc w:val="right"/>
              <w:rPr>
                <w:rFonts w:cs="Times New Roman"/>
                <w:sz w:val="18"/>
                <w:szCs w:val="18"/>
              </w:rPr>
            </w:pPr>
            <w:r>
              <w:rPr>
                <w:rFonts w:cs="Times New Roman"/>
                <w:sz w:val="18"/>
                <w:szCs w:val="18"/>
              </w:rPr>
              <w:t>31.39</w:t>
            </w:r>
          </w:p>
        </w:tc>
        <w:tc>
          <w:tcPr>
            <w:tcW w:w="692" w:type="pct"/>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cs="Times New Roman"/>
                <w:sz w:val="18"/>
                <w:szCs w:val="18"/>
              </w:rPr>
              <w:t>1</w:t>
            </w:r>
            <w:r>
              <w:rPr>
                <w:rFonts w:hint="eastAsia" w:cs="Times New Roman"/>
                <w:sz w:val="18"/>
                <w:szCs w:val="18"/>
              </w:rPr>
              <w:t>年以内</w:t>
            </w:r>
          </w:p>
        </w:tc>
        <w:tc>
          <w:tcPr>
            <w:tcW w:w="708" w:type="pct"/>
            <w:noWrap/>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尚未结算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929" w:type="pct"/>
            <w:noWrap/>
            <w:tcMar>
              <w:top w:w="0" w:type="dxa"/>
              <w:left w:w="28" w:type="dxa"/>
              <w:bottom w:w="0" w:type="dxa"/>
              <w:right w:w="28" w:type="dxa"/>
            </w:tcMar>
            <w:vAlign w:val="center"/>
          </w:tcPr>
          <w:p>
            <w:pPr>
              <w:pStyle w:val="11"/>
              <w:spacing w:before="0" w:beforeAutospacing="0" w:after="0" w:afterAutospacing="0"/>
              <w:rPr>
                <w:rFonts w:cs="Times New Roman"/>
                <w:sz w:val="18"/>
                <w:szCs w:val="18"/>
              </w:rPr>
            </w:pPr>
            <w:r>
              <w:rPr>
                <w:rFonts w:hint="eastAsia" w:cs="Times New Roman"/>
                <w:sz w:val="18"/>
                <w:szCs w:val="18"/>
              </w:rPr>
              <w:t>郭曜兰</w:t>
            </w:r>
          </w:p>
        </w:tc>
        <w:tc>
          <w:tcPr>
            <w:tcW w:w="754" w:type="pct"/>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无关联关系</w:t>
            </w:r>
          </w:p>
        </w:tc>
        <w:tc>
          <w:tcPr>
            <w:tcW w:w="805" w:type="pct"/>
            <w:noWrap/>
            <w:tcMar>
              <w:top w:w="0" w:type="dxa"/>
              <w:left w:w="28" w:type="dxa"/>
              <w:bottom w:w="0" w:type="dxa"/>
              <w:right w:w="28" w:type="dxa"/>
            </w:tcMar>
            <w:vAlign w:val="center"/>
          </w:tcPr>
          <w:p>
            <w:pPr>
              <w:pStyle w:val="11"/>
              <w:spacing w:before="0" w:beforeAutospacing="0" w:after="0" w:afterAutospacing="0"/>
              <w:jc w:val="right"/>
              <w:rPr>
                <w:rFonts w:cs="Times New Roman"/>
                <w:sz w:val="18"/>
                <w:szCs w:val="18"/>
              </w:rPr>
            </w:pPr>
            <w:r>
              <w:rPr>
                <w:rFonts w:cs="Times New Roman"/>
                <w:sz w:val="18"/>
                <w:szCs w:val="18"/>
              </w:rPr>
              <w:t>27,047,442.00</w:t>
            </w:r>
          </w:p>
        </w:tc>
        <w:tc>
          <w:tcPr>
            <w:tcW w:w="1109" w:type="pct"/>
            <w:tcMar>
              <w:top w:w="0" w:type="dxa"/>
              <w:left w:w="28" w:type="dxa"/>
              <w:bottom w:w="0" w:type="dxa"/>
              <w:right w:w="28" w:type="dxa"/>
            </w:tcMar>
            <w:vAlign w:val="center"/>
          </w:tcPr>
          <w:p>
            <w:pPr>
              <w:pStyle w:val="11"/>
              <w:spacing w:before="0" w:beforeAutospacing="0" w:after="0" w:afterAutospacing="0"/>
              <w:jc w:val="right"/>
              <w:rPr>
                <w:rFonts w:cs="Times New Roman"/>
                <w:sz w:val="18"/>
                <w:szCs w:val="18"/>
              </w:rPr>
            </w:pPr>
            <w:r>
              <w:rPr>
                <w:rFonts w:cs="Times New Roman"/>
                <w:sz w:val="18"/>
                <w:szCs w:val="18"/>
              </w:rPr>
              <w:t>28.30</w:t>
            </w:r>
          </w:p>
        </w:tc>
        <w:tc>
          <w:tcPr>
            <w:tcW w:w="692" w:type="pct"/>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cs="Times New Roman"/>
                <w:sz w:val="18"/>
                <w:szCs w:val="18"/>
              </w:rPr>
              <w:t>1</w:t>
            </w:r>
            <w:r>
              <w:rPr>
                <w:rFonts w:hint="eastAsia" w:cs="Times New Roman"/>
                <w:sz w:val="18"/>
                <w:szCs w:val="18"/>
              </w:rPr>
              <w:t>年以内</w:t>
            </w:r>
          </w:p>
        </w:tc>
        <w:tc>
          <w:tcPr>
            <w:tcW w:w="708" w:type="pct"/>
            <w:noWrap/>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尚未结算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929" w:type="pct"/>
            <w:noWrap/>
            <w:tcMar>
              <w:top w:w="0" w:type="dxa"/>
              <w:left w:w="28" w:type="dxa"/>
              <w:bottom w:w="0" w:type="dxa"/>
              <w:right w:w="28" w:type="dxa"/>
            </w:tcMar>
            <w:vAlign w:val="center"/>
          </w:tcPr>
          <w:p>
            <w:pPr>
              <w:pStyle w:val="11"/>
              <w:spacing w:before="0" w:beforeAutospacing="0" w:after="0" w:afterAutospacing="0"/>
              <w:rPr>
                <w:rFonts w:cs="Times New Roman"/>
                <w:sz w:val="18"/>
                <w:szCs w:val="18"/>
              </w:rPr>
            </w:pPr>
            <w:r>
              <w:rPr>
                <w:rFonts w:hint="eastAsia" w:cs="Times New Roman"/>
                <w:sz w:val="18"/>
                <w:szCs w:val="18"/>
              </w:rPr>
              <w:t>云南德宏川盛泰矿业有限公司</w:t>
            </w:r>
          </w:p>
        </w:tc>
        <w:tc>
          <w:tcPr>
            <w:tcW w:w="754" w:type="pct"/>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无关联关系</w:t>
            </w:r>
          </w:p>
        </w:tc>
        <w:tc>
          <w:tcPr>
            <w:tcW w:w="805" w:type="pct"/>
            <w:noWrap/>
            <w:tcMar>
              <w:top w:w="0" w:type="dxa"/>
              <w:left w:w="28" w:type="dxa"/>
              <w:bottom w:w="0" w:type="dxa"/>
              <w:right w:w="28" w:type="dxa"/>
            </w:tcMar>
            <w:vAlign w:val="center"/>
          </w:tcPr>
          <w:p>
            <w:pPr>
              <w:pStyle w:val="11"/>
              <w:spacing w:before="0" w:beforeAutospacing="0" w:after="0" w:afterAutospacing="0"/>
              <w:jc w:val="right"/>
              <w:rPr>
                <w:rFonts w:cs="Times New Roman"/>
                <w:sz w:val="18"/>
                <w:szCs w:val="18"/>
              </w:rPr>
            </w:pPr>
            <w:r>
              <w:rPr>
                <w:rFonts w:cs="Times New Roman"/>
                <w:sz w:val="18"/>
                <w:szCs w:val="18"/>
              </w:rPr>
              <w:t>9,500,000.00</w:t>
            </w:r>
          </w:p>
        </w:tc>
        <w:tc>
          <w:tcPr>
            <w:tcW w:w="1109" w:type="pct"/>
            <w:tcMar>
              <w:top w:w="0" w:type="dxa"/>
              <w:left w:w="28" w:type="dxa"/>
              <w:bottom w:w="0" w:type="dxa"/>
              <w:right w:w="28" w:type="dxa"/>
            </w:tcMar>
            <w:vAlign w:val="center"/>
          </w:tcPr>
          <w:p>
            <w:pPr>
              <w:pStyle w:val="11"/>
              <w:spacing w:before="0" w:beforeAutospacing="0" w:after="0" w:afterAutospacing="0"/>
              <w:jc w:val="right"/>
              <w:rPr>
                <w:rFonts w:cs="Times New Roman"/>
                <w:sz w:val="18"/>
                <w:szCs w:val="18"/>
              </w:rPr>
            </w:pPr>
            <w:r>
              <w:rPr>
                <w:rFonts w:cs="Times New Roman"/>
                <w:sz w:val="18"/>
                <w:szCs w:val="18"/>
              </w:rPr>
              <w:t>9.94</w:t>
            </w:r>
          </w:p>
        </w:tc>
        <w:tc>
          <w:tcPr>
            <w:tcW w:w="692" w:type="pct"/>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cs="Times New Roman"/>
                <w:sz w:val="18"/>
                <w:szCs w:val="18"/>
              </w:rPr>
              <w:t>1</w:t>
            </w:r>
            <w:r>
              <w:rPr>
                <w:rFonts w:hint="eastAsia" w:cs="Times New Roman"/>
                <w:sz w:val="18"/>
                <w:szCs w:val="18"/>
              </w:rPr>
              <w:t>年以内</w:t>
            </w:r>
          </w:p>
        </w:tc>
        <w:tc>
          <w:tcPr>
            <w:tcW w:w="708" w:type="pct"/>
            <w:noWrap/>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尚未结算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929" w:type="pct"/>
            <w:noWrap/>
            <w:tcMar>
              <w:top w:w="0" w:type="dxa"/>
              <w:left w:w="28" w:type="dxa"/>
              <w:bottom w:w="0" w:type="dxa"/>
              <w:right w:w="28" w:type="dxa"/>
            </w:tcMar>
            <w:vAlign w:val="center"/>
          </w:tcPr>
          <w:p>
            <w:pPr>
              <w:pStyle w:val="11"/>
              <w:spacing w:before="0" w:beforeAutospacing="0" w:after="0" w:afterAutospacing="0"/>
              <w:rPr>
                <w:rFonts w:cs="Times New Roman"/>
                <w:sz w:val="18"/>
                <w:szCs w:val="18"/>
              </w:rPr>
            </w:pPr>
            <w:r>
              <w:rPr>
                <w:rFonts w:hint="eastAsia" w:cs="Times New Roman"/>
                <w:sz w:val="18"/>
                <w:szCs w:val="18"/>
              </w:rPr>
              <w:t>溧阳中联金电子商务有限公司</w:t>
            </w:r>
          </w:p>
        </w:tc>
        <w:tc>
          <w:tcPr>
            <w:tcW w:w="754" w:type="pct"/>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无关联关系</w:t>
            </w:r>
          </w:p>
        </w:tc>
        <w:tc>
          <w:tcPr>
            <w:tcW w:w="805" w:type="pct"/>
            <w:noWrap/>
            <w:tcMar>
              <w:top w:w="0" w:type="dxa"/>
              <w:left w:w="28" w:type="dxa"/>
              <w:bottom w:w="0" w:type="dxa"/>
              <w:right w:w="28" w:type="dxa"/>
            </w:tcMar>
            <w:vAlign w:val="center"/>
          </w:tcPr>
          <w:p>
            <w:pPr>
              <w:pStyle w:val="11"/>
              <w:spacing w:before="0" w:beforeAutospacing="0" w:after="0" w:afterAutospacing="0"/>
              <w:jc w:val="right"/>
              <w:rPr>
                <w:rFonts w:cs="Times New Roman"/>
                <w:sz w:val="18"/>
                <w:szCs w:val="18"/>
              </w:rPr>
            </w:pPr>
            <w:r>
              <w:rPr>
                <w:rFonts w:cs="Times New Roman"/>
                <w:sz w:val="18"/>
                <w:szCs w:val="18"/>
              </w:rPr>
              <w:t>8,699,200.00</w:t>
            </w:r>
          </w:p>
        </w:tc>
        <w:tc>
          <w:tcPr>
            <w:tcW w:w="1109" w:type="pct"/>
            <w:tcMar>
              <w:top w:w="0" w:type="dxa"/>
              <w:left w:w="28" w:type="dxa"/>
              <w:bottom w:w="0" w:type="dxa"/>
              <w:right w:w="28" w:type="dxa"/>
            </w:tcMar>
            <w:vAlign w:val="center"/>
          </w:tcPr>
          <w:p>
            <w:pPr>
              <w:pStyle w:val="11"/>
              <w:spacing w:before="0" w:beforeAutospacing="0" w:after="0" w:afterAutospacing="0"/>
              <w:jc w:val="right"/>
              <w:rPr>
                <w:rFonts w:cs="Times New Roman"/>
                <w:sz w:val="18"/>
                <w:szCs w:val="18"/>
              </w:rPr>
            </w:pPr>
            <w:r>
              <w:rPr>
                <w:rFonts w:cs="Times New Roman"/>
                <w:sz w:val="18"/>
                <w:szCs w:val="18"/>
              </w:rPr>
              <w:t>9.10</w:t>
            </w:r>
          </w:p>
        </w:tc>
        <w:tc>
          <w:tcPr>
            <w:tcW w:w="692" w:type="pct"/>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cs="Times New Roman"/>
                <w:sz w:val="18"/>
                <w:szCs w:val="18"/>
              </w:rPr>
              <w:t>1</w:t>
            </w:r>
            <w:r>
              <w:rPr>
                <w:rFonts w:hint="eastAsia" w:cs="Times New Roman"/>
                <w:sz w:val="18"/>
                <w:szCs w:val="18"/>
              </w:rPr>
              <w:t>年以内</w:t>
            </w:r>
          </w:p>
        </w:tc>
        <w:tc>
          <w:tcPr>
            <w:tcW w:w="708" w:type="pct"/>
            <w:noWrap/>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尚未结算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929" w:type="pct"/>
            <w:noWrap/>
            <w:tcMar>
              <w:top w:w="0" w:type="dxa"/>
              <w:left w:w="28" w:type="dxa"/>
              <w:bottom w:w="0" w:type="dxa"/>
              <w:right w:w="28" w:type="dxa"/>
            </w:tcMar>
            <w:vAlign w:val="center"/>
          </w:tcPr>
          <w:p>
            <w:pPr>
              <w:pStyle w:val="11"/>
              <w:spacing w:before="0" w:beforeAutospacing="0" w:after="0" w:afterAutospacing="0"/>
              <w:rPr>
                <w:rFonts w:cs="Times New Roman"/>
                <w:sz w:val="18"/>
                <w:szCs w:val="18"/>
              </w:rPr>
            </w:pPr>
            <w:r>
              <w:rPr>
                <w:rFonts w:hint="eastAsia" w:cs="Times New Roman"/>
                <w:sz w:val="18"/>
                <w:szCs w:val="18"/>
              </w:rPr>
              <w:t>赣州市建程供应链管理有限公司</w:t>
            </w:r>
          </w:p>
        </w:tc>
        <w:tc>
          <w:tcPr>
            <w:tcW w:w="754" w:type="pct"/>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无关联关系</w:t>
            </w:r>
          </w:p>
        </w:tc>
        <w:tc>
          <w:tcPr>
            <w:tcW w:w="805" w:type="pct"/>
            <w:noWrap/>
            <w:tcMar>
              <w:top w:w="0" w:type="dxa"/>
              <w:left w:w="28" w:type="dxa"/>
              <w:bottom w:w="0" w:type="dxa"/>
              <w:right w:w="28" w:type="dxa"/>
            </w:tcMar>
            <w:vAlign w:val="center"/>
          </w:tcPr>
          <w:p>
            <w:pPr>
              <w:pStyle w:val="11"/>
              <w:spacing w:before="0" w:beforeAutospacing="0" w:after="0" w:afterAutospacing="0"/>
              <w:jc w:val="right"/>
              <w:rPr>
                <w:rFonts w:cs="Times New Roman"/>
                <w:sz w:val="18"/>
                <w:szCs w:val="18"/>
              </w:rPr>
            </w:pPr>
            <w:r>
              <w:rPr>
                <w:rFonts w:cs="Times New Roman"/>
                <w:sz w:val="18"/>
                <w:szCs w:val="18"/>
              </w:rPr>
              <w:t>5,200,000.00</w:t>
            </w:r>
          </w:p>
        </w:tc>
        <w:tc>
          <w:tcPr>
            <w:tcW w:w="1109" w:type="pct"/>
            <w:tcMar>
              <w:top w:w="0" w:type="dxa"/>
              <w:left w:w="28" w:type="dxa"/>
              <w:bottom w:w="0" w:type="dxa"/>
              <w:right w:w="28" w:type="dxa"/>
            </w:tcMar>
            <w:vAlign w:val="center"/>
          </w:tcPr>
          <w:p>
            <w:pPr>
              <w:pStyle w:val="11"/>
              <w:spacing w:before="0" w:beforeAutospacing="0" w:after="0" w:afterAutospacing="0"/>
              <w:jc w:val="right"/>
              <w:rPr>
                <w:rFonts w:cs="Times New Roman"/>
                <w:sz w:val="18"/>
                <w:szCs w:val="18"/>
              </w:rPr>
            </w:pPr>
            <w:r>
              <w:rPr>
                <w:rFonts w:cs="Times New Roman"/>
                <w:sz w:val="18"/>
                <w:szCs w:val="18"/>
              </w:rPr>
              <w:t>5.44</w:t>
            </w:r>
          </w:p>
        </w:tc>
        <w:tc>
          <w:tcPr>
            <w:tcW w:w="692" w:type="pct"/>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cs="Times New Roman"/>
                <w:sz w:val="18"/>
                <w:szCs w:val="18"/>
              </w:rPr>
              <w:t>1</w:t>
            </w:r>
            <w:r>
              <w:rPr>
                <w:rFonts w:hint="eastAsia" w:cs="Times New Roman"/>
                <w:sz w:val="18"/>
                <w:szCs w:val="18"/>
              </w:rPr>
              <w:t>年以内</w:t>
            </w:r>
          </w:p>
        </w:tc>
        <w:tc>
          <w:tcPr>
            <w:tcW w:w="708" w:type="pct"/>
            <w:noWrap/>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尚未结算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929" w:type="pct"/>
            <w:noWrap/>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hint="eastAsia" w:cs="Times New Roman"/>
                <w:sz w:val="18"/>
                <w:szCs w:val="18"/>
              </w:rPr>
              <w:t>合计</w:t>
            </w:r>
          </w:p>
        </w:tc>
        <w:tc>
          <w:tcPr>
            <w:tcW w:w="754" w:type="pct"/>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cs="Times New Roman"/>
                <w:sz w:val="18"/>
                <w:szCs w:val="18"/>
              </w:rPr>
              <w:t>/</w:t>
            </w:r>
          </w:p>
        </w:tc>
        <w:tc>
          <w:tcPr>
            <w:tcW w:w="805" w:type="pct"/>
            <w:noWrap/>
            <w:tcMar>
              <w:top w:w="0" w:type="dxa"/>
              <w:left w:w="28" w:type="dxa"/>
              <w:bottom w:w="0" w:type="dxa"/>
              <w:right w:w="28" w:type="dxa"/>
            </w:tcMar>
            <w:vAlign w:val="center"/>
          </w:tcPr>
          <w:p>
            <w:pPr>
              <w:pStyle w:val="11"/>
              <w:spacing w:before="0" w:beforeAutospacing="0" w:after="0" w:afterAutospacing="0"/>
              <w:jc w:val="right"/>
              <w:rPr>
                <w:rFonts w:cs="Times New Roman"/>
                <w:sz w:val="18"/>
                <w:szCs w:val="18"/>
              </w:rPr>
            </w:pPr>
            <w:r>
              <w:rPr>
                <w:rFonts w:cs="Times New Roman"/>
                <w:sz w:val="18"/>
                <w:szCs w:val="18"/>
              </w:rPr>
              <w:t>80,446,642.00</w:t>
            </w:r>
          </w:p>
        </w:tc>
        <w:tc>
          <w:tcPr>
            <w:tcW w:w="1109" w:type="pct"/>
            <w:tcMar>
              <w:top w:w="0" w:type="dxa"/>
              <w:left w:w="28" w:type="dxa"/>
              <w:bottom w:w="0" w:type="dxa"/>
              <w:right w:w="28" w:type="dxa"/>
            </w:tcMar>
            <w:vAlign w:val="center"/>
          </w:tcPr>
          <w:p>
            <w:pPr>
              <w:pStyle w:val="11"/>
              <w:spacing w:before="0" w:beforeAutospacing="0" w:after="0" w:afterAutospacing="0"/>
              <w:jc w:val="right"/>
              <w:rPr>
                <w:rFonts w:cs="Times New Roman"/>
                <w:sz w:val="18"/>
                <w:szCs w:val="18"/>
              </w:rPr>
            </w:pPr>
            <w:r>
              <w:rPr>
                <w:rFonts w:cs="Times New Roman"/>
                <w:sz w:val="18"/>
                <w:szCs w:val="18"/>
              </w:rPr>
              <w:t>84.17</w:t>
            </w:r>
          </w:p>
        </w:tc>
        <w:tc>
          <w:tcPr>
            <w:tcW w:w="692" w:type="pct"/>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cs="Times New Roman"/>
                <w:sz w:val="18"/>
                <w:szCs w:val="18"/>
              </w:rPr>
              <w:t>/</w:t>
            </w:r>
          </w:p>
        </w:tc>
        <w:tc>
          <w:tcPr>
            <w:tcW w:w="708" w:type="pct"/>
            <w:noWrap/>
            <w:tcMar>
              <w:top w:w="0" w:type="dxa"/>
              <w:left w:w="28" w:type="dxa"/>
              <w:bottom w:w="0" w:type="dxa"/>
              <w:right w:w="28" w:type="dxa"/>
            </w:tcMar>
            <w:vAlign w:val="center"/>
          </w:tcPr>
          <w:p>
            <w:pPr>
              <w:pStyle w:val="11"/>
              <w:spacing w:before="0" w:beforeAutospacing="0" w:after="0" w:afterAutospacing="0"/>
              <w:jc w:val="center"/>
              <w:rPr>
                <w:rFonts w:cs="Times New Roman"/>
                <w:sz w:val="18"/>
                <w:szCs w:val="18"/>
              </w:rPr>
            </w:pPr>
            <w:r>
              <w:rPr>
                <w:rFonts w:cs="Times New Roman"/>
                <w:sz w:val="18"/>
                <w:szCs w:val="18"/>
              </w:rPr>
              <w:t>/</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35" w:name="_Toc989117"/>
      <w:r>
        <w:rPr>
          <w:rFonts w:ascii="宋体" w:hAnsi="宋体" w:cs="宋体"/>
          <w:b/>
          <w:bCs/>
        </w:rPr>
        <w:t>5、其他应收款</w:t>
      </w:r>
      <w:bookmarkEnd w:id="235"/>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其他应收款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29,790,419.78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22,708,412.98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29,790,419.78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22,708,412.98</w:t>
            </w:r>
          </w:p>
        </w:tc>
      </w:tr>
    </w:tbl>
    <w:p>
      <w:pPr>
        <w:keepNext/>
        <w:keepLines/>
        <w:spacing w:before="300" w:after="300" w:line="280" w:lineRule="exact"/>
        <w:outlineLvl w:val="3"/>
        <w:rPr>
          <w:rFonts w:ascii="宋体" w:hAnsi="宋体" w:eastAsia="宋体" w:cs="宋体"/>
          <w:b/>
          <w:bCs/>
          <w:szCs w:val="21"/>
        </w:rPr>
      </w:pPr>
      <w:bookmarkStart w:id="236" w:name="_Toc989118"/>
      <w:r>
        <w:rPr>
          <w:rFonts w:ascii="宋体" w:hAnsi="宋体" w:eastAsia="宋体" w:cs="宋体"/>
          <w:b/>
          <w:bCs/>
          <w:szCs w:val="21"/>
        </w:rPr>
        <w:t>（1） 其他应收款</w:t>
      </w:r>
      <w:bookmarkEnd w:id="236"/>
    </w:p>
    <w:p>
      <w:pPr>
        <w:keepNext/>
        <w:keepLines/>
        <w:spacing w:before="300" w:after="300" w:line="280" w:lineRule="exact"/>
        <w:outlineLvl w:val="4"/>
        <w:rPr>
          <w:rFonts w:ascii="宋体" w:hAnsi="宋体" w:eastAsia="宋体" w:cs="宋体"/>
          <w:b/>
          <w:bCs/>
          <w:szCs w:val="21"/>
        </w:rPr>
      </w:pPr>
      <w:bookmarkStart w:id="237" w:name="_Toc989119"/>
      <w:r>
        <w:rPr>
          <w:rFonts w:ascii="宋体" w:hAnsi="宋体" w:eastAsia="宋体" w:cs="宋体"/>
          <w:b/>
          <w:bCs/>
          <w:szCs w:val="21"/>
        </w:rPr>
        <w:t>1） 其他应收款按款项性质分类情况</w:t>
      </w:r>
      <w:bookmarkEnd w:id="237"/>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款项性质</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期末账面余额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期初账面余额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履约及投标保证金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17,593,922.39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14,695,665.55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备用金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80,685.20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17,790.00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往来款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1,696,050.32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1,991,014.87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房租</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72,917.22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72,917.22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股权款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项目借款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8,044,710.18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3,251,654.43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即征即退款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2,284,133.56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1,496,994.38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894,713.10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39,869,413.25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29,523,755.17</w:t>
            </w:r>
          </w:p>
        </w:tc>
      </w:tr>
    </w:tbl>
    <w:p>
      <w:pPr>
        <w:keepNext/>
        <w:keepLines/>
        <w:spacing w:before="300" w:after="300" w:line="280" w:lineRule="exact"/>
        <w:outlineLvl w:val="4"/>
        <w:rPr>
          <w:rFonts w:ascii="宋体" w:hAnsi="宋体" w:eastAsia="宋体" w:cs="宋体"/>
          <w:b/>
          <w:bCs/>
          <w:szCs w:val="21"/>
        </w:rPr>
      </w:pPr>
      <w:bookmarkStart w:id="238" w:name="_Toc989120"/>
      <w:r>
        <w:rPr>
          <w:rFonts w:ascii="宋体" w:hAnsi="宋体" w:eastAsia="宋体" w:cs="宋体"/>
          <w:b/>
          <w:bCs/>
          <w:szCs w:val="21"/>
        </w:rPr>
        <w:t>2） 坏账准备计提情况</w:t>
      </w:r>
      <w:bookmarkEnd w:id="238"/>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第一阶段</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第二阶段</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第三阶段</w:t>
            </w:r>
          </w:p>
        </w:tc>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未来12个月预期信用损失</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整个存续期预期信用损失(未发生信用减值)</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整个存续期预期信用损失(已发生信用减值)</w:t>
            </w:r>
          </w:p>
        </w:tc>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2022年1月1日余额</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6,113,961.55</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701,380.64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6,815,342.19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2022年1月1日余额在本期</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本期计提</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2,762,779.18</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2,762,779.18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本期转回</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4,884.46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4,884.46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本期核销</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24,000.00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其他变动</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529,756.56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529,756.56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2022年12月31日余额</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9,377,612.83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701,380.64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10,078,993.47</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损失准备本期变动金额重大的账面余额变动情况</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spacing w:line="240" w:lineRule="exact"/>
        <w:rPr>
          <w:rFonts w:ascii="宋体" w:hAnsi="宋体" w:eastAsia="宋体" w:cs="宋体"/>
          <w:sz w:val="18"/>
          <w:szCs w:val="18"/>
        </w:rPr>
      </w:pPr>
      <w:r>
        <w:rPr>
          <w:rFonts w:ascii="宋体" w:hAnsi="宋体" w:eastAsia="宋体" w:cs="宋体"/>
          <w:sz w:val="18"/>
          <w:szCs w:val="18"/>
        </w:rPr>
        <w:t>按账龄披露</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账龄</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1年以内（含1年）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20,557,653.57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1至2年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4,367,029.27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2至3年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2,213,710.76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3年以上</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12,731,019.65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3至4年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9,333,036.67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4至5年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1,318,085.81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5年以上</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2,079,897.17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39,869,413.25</w:t>
            </w:r>
          </w:p>
        </w:tc>
      </w:tr>
    </w:tbl>
    <w:p>
      <w:pPr>
        <w:keepNext/>
        <w:keepLines/>
        <w:spacing w:before="300" w:after="300" w:line="280" w:lineRule="exact"/>
        <w:outlineLvl w:val="4"/>
        <w:rPr>
          <w:rFonts w:ascii="宋体" w:hAnsi="宋体" w:eastAsia="宋体" w:cs="宋体"/>
          <w:b/>
          <w:bCs/>
          <w:szCs w:val="21"/>
        </w:rPr>
      </w:pPr>
      <w:bookmarkStart w:id="239" w:name="_Toc989121"/>
      <w:r>
        <w:rPr>
          <w:rFonts w:ascii="宋体" w:hAnsi="宋体" w:eastAsia="宋体" w:cs="宋体"/>
          <w:b/>
          <w:bCs/>
          <w:szCs w:val="21"/>
        </w:rPr>
        <w:t>3） 本期计提、收回或转回的坏账准备情况</w:t>
      </w:r>
      <w:bookmarkEnd w:id="239"/>
    </w:p>
    <w:p>
      <w:pPr>
        <w:spacing w:line="240" w:lineRule="exact"/>
        <w:rPr>
          <w:rFonts w:ascii="宋体" w:hAnsi="宋体" w:eastAsia="宋体" w:cs="宋体"/>
          <w:sz w:val="18"/>
          <w:szCs w:val="18"/>
        </w:rPr>
      </w:pPr>
      <w:r>
        <w:rPr>
          <w:rFonts w:ascii="宋体" w:hAnsi="宋体" w:eastAsia="宋体" w:cs="宋体"/>
          <w:sz w:val="18"/>
          <w:szCs w:val="18"/>
        </w:rPr>
        <w:t>本期计提坏账准备情况：</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508"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本期变动金额</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核销</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单项计提</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701,380.64</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701,380.64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组合计提</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6,113,961.55</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2,762,779.18</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4,884.46</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24,000.00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529,756.56</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9,377,612.83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6,815,342.19</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2,762,779.18</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4,884.46</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24,000.00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529,756.56</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10,078,993.47</w:t>
            </w:r>
          </w:p>
        </w:tc>
      </w:tr>
    </w:tbl>
    <w:p>
      <w:pPr>
        <w:spacing w:line="240" w:lineRule="exact"/>
      </w:pPr>
      <w:r>
        <w:rPr>
          <w:rFonts w:ascii="宋体" w:hAnsi="宋体" w:eastAsia="宋体" w:cs="宋体"/>
          <w:sz w:val="18"/>
          <w:szCs w:val="18"/>
        </w:rPr>
        <w:t>其中本期坏账准备转回或收回金额重要的：</w:t>
      </w:r>
    </w:p>
    <w:p>
      <w:pPr>
        <w:keepNext/>
        <w:keepLines/>
        <w:spacing w:before="300" w:after="300" w:line="280" w:lineRule="exact"/>
        <w:outlineLvl w:val="4"/>
        <w:rPr>
          <w:rFonts w:ascii="宋体" w:hAnsi="宋体" w:eastAsia="宋体" w:cs="宋体"/>
          <w:b/>
          <w:bCs/>
          <w:szCs w:val="21"/>
        </w:rPr>
      </w:pPr>
      <w:bookmarkStart w:id="240" w:name="_Toc989122"/>
      <w:r>
        <w:rPr>
          <w:rFonts w:ascii="宋体" w:hAnsi="宋体" w:eastAsia="宋体" w:cs="宋体"/>
          <w:b/>
          <w:bCs/>
          <w:szCs w:val="21"/>
        </w:rPr>
        <w:t>4） 本期实际核销的其他应收款情况</w:t>
      </w:r>
      <w:bookmarkEnd w:id="240"/>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实际核销的其他应收款</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24,000.00</w:t>
            </w:r>
          </w:p>
        </w:tc>
      </w:tr>
    </w:tbl>
    <w:p>
      <w:pPr>
        <w:spacing w:line="240" w:lineRule="exact"/>
        <w:rPr>
          <w:rFonts w:ascii="宋体" w:hAnsi="宋体" w:eastAsia="宋体" w:cs="宋体"/>
          <w:sz w:val="18"/>
          <w:szCs w:val="18"/>
        </w:rPr>
      </w:pPr>
      <w:r>
        <w:rPr>
          <w:rFonts w:ascii="宋体" w:hAnsi="宋体" w:eastAsia="宋体" w:cs="宋体"/>
          <w:sz w:val="18"/>
          <w:szCs w:val="18"/>
        </w:rPr>
        <w:t>其中重要的其他应收款核销情况：</w:t>
      </w:r>
    </w:p>
    <w:p>
      <w:pPr>
        <w:spacing w:before="100" w:after="100" w:line="240" w:lineRule="exact"/>
      </w:pPr>
      <w:r>
        <w:rPr>
          <w:rFonts w:ascii="宋体" w:hAnsi="宋体" w:eastAsia="宋体" w:cs="宋体"/>
          <w:sz w:val="18"/>
          <w:szCs w:val="18"/>
        </w:rPr>
        <w:t>其他应收款核销说明：</w:t>
      </w:r>
    </w:p>
    <w:p>
      <w:pPr>
        <w:keepNext/>
        <w:keepLines/>
        <w:spacing w:before="300" w:after="300" w:line="280" w:lineRule="exact"/>
        <w:outlineLvl w:val="4"/>
        <w:rPr>
          <w:rFonts w:ascii="宋体" w:hAnsi="宋体" w:eastAsia="宋体" w:cs="宋体"/>
          <w:b/>
          <w:bCs/>
          <w:szCs w:val="21"/>
        </w:rPr>
      </w:pPr>
      <w:bookmarkStart w:id="241" w:name="_Toc989123"/>
      <w:r>
        <w:rPr>
          <w:rFonts w:ascii="宋体" w:hAnsi="宋体" w:eastAsia="宋体" w:cs="宋体"/>
          <w:b/>
          <w:bCs/>
          <w:szCs w:val="21"/>
        </w:rPr>
        <w:t>5） 按欠款方归集的期末余额前五名的其他应收款情况</w:t>
      </w:r>
      <w:bookmarkEnd w:id="241"/>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843"/>
        <w:gridCol w:w="1369"/>
        <w:gridCol w:w="1606"/>
        <w:gridCol w:w="1607"/>
        <w:gridCol w:w="1607"/>
        <w:gridCol w:w="160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8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36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款项的性质</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账龄</w:t>
            </w:r>
          </w:p>
        </w:tc>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占其他应收款期末余额合计数的比例</w:t>
            </w:r>
          </w:p>
        </w:tc>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鹰潭市经贸国有资产运营有限公司</w:t>
            </w:r>
          </w:p>
        </w:tc>
        <w:tc>
          <w:tcPr>
            <w:tcW w:w="136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股权款</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8,600,000.00</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3-4年</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21.57%</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赣州市税务局</w:t>
            </w:r>
          </w:p>
        </w:tc>
        <w:tc>
          <w:tcPr>
            <w:tcW w:w="136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即征即退款</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2,074,097.26</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1年以内</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5.20%</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吴方保</w:t>
            </w:r>
          </w:p>
        </w:tc>
        <w:tc>
          <w:tcPr>
            <w:tcW w:w="136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项目借款</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1,775,061.33</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1年以内</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4.45%</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88,753.07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应收出口退税</w:t>
            </w:r>
          </w:p>
        </w:tc>
        <w:tc>
          <w:tcPr>
            <w:tcW w:w="136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1,312,889.45</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1年以内</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3.29%</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65,644.47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鲁皓</w:t>
            </w:r>
          </w:p>
        </w:tc>
        <w:tc>
          <w:tcPr>
            <w:tcW w:w="136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项目借款</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1,102,493.08</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1年以内</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2.77%</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55,124.65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8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369"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14,864,541.12</w:t>
            </w:r>
          </w:p>
        </w:tc>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37.28%</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4,509,522.19</w:t>
            </w:r>
          </w:p>
        </w:tc>
      </w:tr>
    </w:tbl>
    <w:p>
      <w:pPr>
        <w:keepNext/>
        <w:keepLines/>
        <w:spacing w:before="300" w:after="300" w:line="280" w:lineRule="exact"/>
        <w:outlineLvl w:val="4"/>
        <w:rPr>
          <w:rFonts w:ascii="宋体" w:hAnsi="宋体" w:eastAsia="宋体" w:cs="宋体"/>
          <w:b/>
          <w:bCs/>
          <w:szCs w:val="21"/>
        </w:rPr>
      </w:pPr>
      <w:bookmarkStart w:id="242" w:name="_Toc989124"/>
      <w:r>
        <w:rPr>
          <w:rFonts w:ascii="宋体" w:hAnsi="宋体" w:eastAsia="宋体" w:cs="宋体"/>
          <w:b/>
          <w:bCs/>
          <w:szCs w:val="21"/>
        </w:rPr>
        <w:t>6） 涉及政府补助的应收款项</w:t>
      </w:r>
      <w:bookmarkEnd w:id="242"/>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418"/>
        <w:gridCol w:w="1843"/>
        <w:gridCol w:w="1417"/>
        <w:gridCol w:w="1418"/>
        <w:gridCol w:w="354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8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政府补助项目名称</w:t>
            </w:r>
          </w:p>
        </w:tc>
        <w:tc>
          <w:tcPr>
            <w:tcW w:w="14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期末账龄</w:t>
            </w:r>
          </w:p>
        </w:tc>
        <w:tc>
          <w:tcPr>
            <w:tcW w:w="35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预计收取的时间、金额及依据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赣州市税务局</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增值税即征即退</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2,074,097.26</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1年以内</w:t>
            </w:r>
          </w:p>
        </w:tc>
        <w:tc>
          <w:tcPr>
            <w:tcW w:w="35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预计于2023年内全部取得，《资源综合利用产品和劳务增值税优惠目录（2022版）》（财税[2021年]40号）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杭州市税务局</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增值税即征即退</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210,036.30</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1年以内</w:t>
            </w:r>
          </w:p>
        </w:tc>
        <w:tc>
          <w:tcPr>
            <w:tcW w:w="35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预计于2023年内全部取得，</w:t>
            </w:r>
          </w:p>
          <w:p>
            <w:pPr>
              <w:spacing w:line="240" w:lineRule="exact"/>
              <w:rPr>
                <w:rFonts w:ascii="宋体" w:hAnsi="宋体" w:eastAsia="宋体" w:cs="宋体"/>
                <w:sz w:val="18"/>
                <w:szCs w:val="18"/>
              </w:rPr>
            </w:pPr>
            <w:r>
              <w:rPr>
                <w:rFonts w:ascii="宋体" w:hAnsi="宋体" w:eastAsia="宋体" w:cs="宋体"/>
                <w:sz w:val="18"/>
                <w:szCs w:val="18"/>
              </w:rPr>
              <w:t>《财政部、国家税务总局关于软件产品增值税政策的通知》（财税[2011年]100号）</w:t>
            </w:r>
          </w:p>
        </w:tc>
      </w:tr>
    </w:tbl>
    <w:p>
      <w:pPr>
        <w:keepNext/>
        <w:keepLines/>
        <w:spacing w:before="300" w:after="300" w:line="280" w:lineRule="exact"/>
        <w:outlineLvl w:val="4"/>
        <w:rPr>
          <w:rFonts w:ascii="宋体" w:hAnsi="宋体" w:eastAsia="宋体" w:cs="宋体"/>
          <w:b/>
          <w:bCs/>
          <w:szCs w:val="21"/>
        </w:rPr>
      </w:pPr>
      <w:bookmarkStart w:id="243" w:name="_Toc989125"/>
      <w:r>
        <w:rPr>
          <w:rFonts w:ascii="宋体" w:hAnsi="宋体" w:eastAsia="宋体" w:cs="宋体"/>
          <w:b/>
          <w:bCs/>
          <w:szCs w:val="21"/>
        </w:rPr>
        <w:t>7） 因金融资产转移而终止确认的其他应收款</w:t>
      </w:r>
      <w:bookmarkEnd w:id="243"/>
    </w:p>
    <w:p>
      <w:pPr>
        <w:pStyle w:val="11"/>
        <w:rPr>
          <w:sz w:val="18"/>
          <w:szCs w:val="18"/>
        </w:rPr>
      </w:pPr>
      <w:r>
        <w:rPr>
          <w:rFonts w:hint="eastAsia"/>
          <w:sz w:val="18"/>
          <w:szCs w:val="18"/>
        </w:rPr>
        <w:t>无</w:t>
      </w:r>
    </w:p>
    <w:p>
      <w:pPr>
        <w:keepNext/>
        <w:keepLines/>
        <w:spacing w:before="300" w:after="300" w:line="280" w:lineRule="exact"/>
        <w:outlineLvl w:val="4"/>
        <w:rPr>
          <w:rFonts w:ascii="宋体" w:hAnsi="宋体" w:eastAsia="宋体" w:cs="宋体"/>
          <w:b/>
          <w:bCs/>
          <w:szCs w:val="21"/>
        </w:rPr>
      </w:pPr>
      <w:bookmarkStart w:id="244" w:name="_Toc989126"/>
      <w:r>
        <w:rPr>
          <w:rFonts w:ascii="宋体" w:hAnsi="宋体" w:eastAsia="宋体" w:cs="宋体"/>
          <w:b/>
          <w:bCs/>
          <w:szCs w:val="21"/>
        </w:rPr>
        <w:t>8） 转移其他应收款且继续涉入形成的资产、负债金额</w:t>
      </w:r>
      <w:bookmarkEnd w:id="244"/>
    </w:p>
    <w:p>
      <w:pPr>
        <w:pStyle w:val="11"/>
        <w:rPr>
          <w:sz w:val="18"/>
          <w:szCs w:val="18"/>
        </w:rPr>
      </w:pPr>
      <w:r>
        <w:rPr>
          <w:rFonts w:hint="eastAsia"/>
          <w:sz w:val="18"/>
          <w:szCs w:val="18"/>
        </w:rPr>
        <w:t>无</w:t>
      </w:r>
    </w:p>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45" w:name="_Toc989127"/>
      <w:r>
        <w:rPr>
          <w:rFonts w:ascii="宋体" w:hAnsi="宋体" w:cs="宋体"/>
          <w:b/>
          <w:bCs/>
        </w:rPr>
        <w:t>6、存货</w:t>
      </w:r>
      <w:bookmarkEnd w:id="245"/>
    </w:p>
    <w:p>
      <w:pPr>
        <w:spacing w:before="100" w:after="100" w:line="240" w:lineRule="exact"/>
        <w:rPr>
          <w:rFonts w:ascii="宋体" w:hAnsi="宋体" w:eastAsia="宋体" w:cs="宋体"/>
          <w:sz w:val="18"/>
          <w:szCs w:val="18"/>
        </w:rPr>
      </w:pPr>
      <w:r>
        <w:rPr>
          <w:rFonts w:ascii="宋体" w:hAnsi="宋体" w:eastAsia="宋体" w:cs="宋体"/>
          <w:sz w:val="18"/>
          <w:szCs w:val="18"/>
        </w:rPr>
        <w:t>公司是否需要遵守房地产行业的披露要求</w:t>
      </w:r>
    </w:p>
    <w:p>
      <w:pPr>
        <w:spacing w:line="240" w:lineRule="exact"/>
        <w:rPr>
          <w:rFonts w:ascii="宋体" w:hAnsi="宋体" w:eastAsia="宋体" w:cs="宋体"/>
          <w:sz w:val="18"/>
          <w:szCs w:val="18"/>
        </w:rPr>
      </w:pPr>
      <w:r>
        <w:rPr>
          <w:rFonts w:ascii="宋体" w:hAnsi="宋体" w:eastAsia="宋体" w:cs="宋体"/>
          <w:sz w:val="18"/>
          <w:szCs w:val="18"/>
        </w:rPr>
        <w:t>否</w:t>
      </w:r>
    </w:p>
    <w:p>
      <w:pPr>
        <w:keepNext/>
        <w:keepLines/>
        <w:spacing w:before="300" w:after="300" w:line="280" w:lineRule="exact"/>
        <w:outlineLvl w:val="3"/>
        <w:rPr>
          <w:rFonts w:ascii="宋体" w:hAnsi="宋体" w:eastAsia="宋体" w:cs="宋体"/>
          <w:b/>
          <w:bCs/>
          <w:szCs w:val="21"/>
        </w:rPr>
      </w:pPr>
      <w:bookmarkStart w:id="246" w:name="_Toc989128"/>
      <w:r>
        <w:rPr>
          <w:rFonts w:ascii="宋体" w:hAnsi="宋体" w:eastAsia="宋体" w:cs="宋体"/>
          <w:b/>
          <w:bCs/>
          <w:szCs w:val="21"/>
        </w:rPr>
        <w:t>（1） 存货分类</w:t>
      </w:r>
      <w:bookmarkEnd w:id="246"/>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存货跌价准备或合同履约成本减值准备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存货跌价准备或合同履约成本减值准备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原材料</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109,307,991.08</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2,797,665.45</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106,510,325.63</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74,328,160.11</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1,770,889.95</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72,557,270.16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在产品</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169,757,895.40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169,757,895.40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31,258,480.50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80,398.11</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31,178,082.39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库存商品</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102,622,818.73</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242,804.60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102,380,014.13</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70,708,241.52</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280,730.28</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70,427,511.24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合同履约成本</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10,881,373.06</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10,881,373.06</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11,439,950.75</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11,439,950.75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发出商品</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119,149,327.20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1,221,907.60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117,927,419.60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55,167,062.63</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55,167,062.63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委托加工物资</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1,138,234.32</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1,138,234.32</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378,065.07</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378,065.07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512,857,639.79</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4,262,377.65</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508,595,262.14</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243,279,960.58</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2,132,018.34</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241,147,942.24</w:t>
            </w:r>
          </w:p>
        </w:tc>
      </w:tr>
    </w:tbl>
    <w:p>
      <w:pPr>
        <w:keepNext/>
        <w:keepLines/>
        <w:spacing w:before="300" w:after="300" w:line="280" w:lineRule="exact"/>
        <w:outlineLvl w:val="3"/>
        <w:rPr>
          <w:rFonts w:ascii="宋体" w:hAnsi="宋体" w:eastAsia="宋体" w:cs="宋体"/>
          <w:b/>
          <w:bCs/>
          <w:szCs w:val="21"/>
        </w:rPr>
      </w:pPr>
      <w:bookmarkStart w:id="247" w:name="_Toc989129"/>
      <w:r>
        <w:rPr>
          <w:rFonts w:ascii="宋体" w:hAnsi="宋体" w:eastAsia="宋体" w:cs="宋体"/>
          <w:b/>
          <w:bCs/>
          <w:szCs w:val="21"/>
        </w:rPr>
        <w:t>（2） 存货跌价准备和合同履约成本减值准备</w:t>
      </w:r>
      <w:bookmarkEnd w:id="247"/>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2754"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本期增加金额</w:t>
            </w:r>
          </w:p>
        </w:tc>
        <w:tc>
          <w:tcPr>
            <w:tcW w:w="2754"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本期减少金额</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转回或转销</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原材料</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1,770,889.95</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1,026,775.49</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2,797,665.45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在产品</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80,398.11</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80,398.11</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库存商品</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280,730.28</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192,654.02</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230,579.69</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242,804.60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发出商品</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1,221,907.60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1,221,907.60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2,132,018.34</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2,441,337.11</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310,977.80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4,262,377.65</w:t>
            </w:r>
          </w:p>
        </w:tc>
      </w:tr>
    </w:tbl>
    <w:p>
      <w:pPr>
        <w:keepNext/>
        <w:keepLines/>
        <w:spacing w:before="300" w:after="300" w:line="280" w:lineRule="exact"/>
        <w:outlineLvl w:val="3"/>
        <w:rPr>
          <w:rFonts w:ascii="宋体" w:hAnsi="宋体" w:eastAsia="宋体" w:cs="宋体"/>
          <w:b/>
          <w:bCs/>
          <w:szCs w:val="21"/>
        </w:rPr>
      </w:pPr>
      <w:bookmarkStart w:id="248" w:name="_Toc989130"/>
      <w:r>
        <w:rPr>
          <w:rFonts w:ascii="宋体" w:hAnsi="宋体" w:eastAsia="宋体" w:cs="宋体"/>
          <w:b/>
          <w:bCs/>
          <w:szCs w:val="21"/>
        </w:rPr>
        <w:t>（3） 存货期末余额含有借款费用资本化金额的说明</w:t>
      </w:r>
      <w:bookmarkEnd w:id="248"/>
    </w:p>
    <w:p>
      <w:pPr>
        <w:pStyle w:val="11"/>
        <w:rPr>
          <w:sz w:val="18"/>
          <w:szCs w:val="18"/>
        </w:rPr>
      </w:pPr>
      <w:r>
        <w:rPr>
          <w:rFonts w:hint="eastAsia"/>
          <w:sz w:val="18"/>
          <w:szCs w:val="18"/>
        </w:rPr>
        <w:t>无</w:t>
      </w:r>
    </w:p>
    <w:p>
      <w:pPr>
        <w:keepNext/>
        <w:keepLines/>
        <w:spacing w:before="300" w:after="300" w:line="280" w:lineRule="exact"/>
        <w:outlineLvl w:val="3"/>
        <w:rPr>
          <w:rFonts w:ascii="宋体" w:hAnsi="宋体" w:eastAsia="宋体" w:cs="宋体"/>
          <w:b/>
          <w:bCs/>
          <w:szCs w:val="21"/>
        </w:rPr>
      </w:pPr>
      <w:bookmarkStart w:id="249" w:name="_Toc989131"/>
      <w:r>
        <w:rPr>
          <w:rFonts w:ascii="宋体" w:hAnsi="宋体" w:eastAsia="宋体" w:cs="宋体"/>
          <w:b/>
          <w:bCs/>
          <w:szCs w:val="21"/>
        </w:rPr>
        <w:t>（4） 合同履约成本本期摊销金额的说明</w:t>
      </w:r>
      <w:bookmarkEnd w:id="249"/>
    </w:p>
    <w:p>
      <w:pPr>
        <w:pStyle w:val="11"/>
        <w:rPr>
          <w:sz w:val="18"/>
          <w:szCs w:val="18"/>
        </w:rPr>
      </w:pPr>
      <w:r>
        <w:rPr>
          <w:rFonts w:hint="eastAsia"/>
          <w:sz w:val="18"/>
          <w:szCs w:val="18"/>
        </w:rPr>
        <w:t>无</w:t>
      </w:r>
    </w:p>
    <w:p>
      <w:pPr>
        <w:pStyle w:val="4"/>
        <w:spacing w:line="280" w:lineRule="exact"/>
        <w:jc w:val="left"/>
        <w:rPr>
          <w:rFonts w:ascii="宋体" w:hAnsi="宋体" w:cs="宋体"/>
          <w:b/>
          <w:bCs/>
        </w:rPr>
      </w:pPr>
      <w:bookmarkStart w:id="250" w:name="_Toc989132"/>
      <w:r>
        <w:rPr>
          <w:rFonts w:ascii="宋体" w:hAnsi="宋体" w:cs="宋体"/>
          <w:b/>
          <w:bCs/>
        </w:rPr>
        <w:t>7、其他流动资产</w:t>
      </w:r>
      <w:bookmarkEnd w:id="250"/>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未抵扣进项税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3,476,080.07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1,464,218.26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待认证进项税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1,540,959.00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1,557,540.59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预缴所得税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558,854.86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328,017.83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定期存单及利息</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117,035,364.38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269,864,591.78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122,611,258.31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273,214,368.46</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51" w:name="_Toc989133"/>
      <w:r>
        <w:rPr>
          <w:rFonts w:ascii="宋体" w:hAnsi="宋体" w:cs="宋体"/>
          <w:b/>
          <w:bCs/>
        </w:rPr>
        <w:t>8、长期股权投资</w:t>
      </w:r>
      <w:bookmarkEnd w:id="251"/>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03"/>
        <w:gridCol w:w="803"/>
        <w:gridCol w:w="803"/>
        <w:gridCol w:w="803"/>
        <w:gridCol w:w="803"/>
        <w:gridCol w:w="803"/>
        <w:gridCol w:w="803"/>
        <w:gridCol w:w="803"/>
        <w:gridCol w:w="803"/>
        <w:gridCol w:w="805"/>
        <w:gridCol w:w="803"/>
        <w:gridCol w:w="80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被投资单位</w:t>
            </w:r>
          </w:p>
        </w:tc>
        <w:tc>
          <w:tcPr>
            <w:tcW w:w="803"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期初余额（账面价值）</w:t>
            </w:r>
          </w:p>
        </w:tc>
        <w:tc>
          <w:tcPr>
            <w:tcW w:w="6426" w:type="dxa"/>
            <w:gridSpan w:val="8"/>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本期增减变动</w:t>
            </w:r>
          </w:p>
        </w:tc>
        <w:tc>
          <w:tcPr>
            <w:tcW w:w="803"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期末余额（账面价值）</w:t>
            </w:r>
          </w:p>
        </w:tc>
        <w:tc>
          <w:tcPr>
            <w:tcW w:w="803"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803"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追加投资</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减少投资</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权益法下确认的投资损益</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其他综合收益调整</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其他权益变动</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宣告发放现金股利或利润</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计提减值准备</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803"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803"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一、合营企业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二、联营企业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江西三川埃尔斯特水表有限公司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10,396,846.62</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3,343,341.67</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13,740,188.29</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鹰潭市供水集团有限公司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302,709,418.55</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28,835,698.78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92,000,000.00</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-153,726,959.43</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85,818,157.90</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鹰潭市三川实业发展有限公司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73,311,980.45</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153,726,959.43</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227,038,939.88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中稀天马新材料科技股份有限公司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120,178,560.38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13,277,813.98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133,456,374.36</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江西川仪三川智慧水务科技有限公司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4,601,913.94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1,580,604.94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6,182,518.88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山西万家寨三合智慧科技有限公司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5,464,956.28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159,875.48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5,624,831.76</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苏州吾爱易达物联网有限公司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6,519,752.08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9,545,454.00</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-501,703.84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1,088,053.04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16,651,555.28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北京天川智联科技有限责任公司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3,091,867.09</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601,418.90</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757,680.37</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2,935,605.62</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上海储睿达智慧能源科技有限公司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1,124,663.10</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-749,650.62</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375,012.48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小计</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454,087,978.04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9,545,454.00</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119,859,379.74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1,088,053.04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92,757,680.37</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491,823,184.45</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454,087,978.04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9,545,454.00</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119,859,379.74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1,088,053.04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-92,757,680.37</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491,823,184.45</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52" w:name="_Toc989134"/>
      <w:r>
        <w:rPr>
          <w:rFonts w:ascii="宋体" w:hAnsi="宋体" w:cs="宋体"/>
          <w:b/>
          <w:bCs/>
        </w:rPr>
        <w:t>9、其他非流动金融资产</w:t>
      </w:r>
      <w:bookmarkEnd w:id="252"/>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544"/>
        <w:gridCol w:w="2882"/>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88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上海弘泰互融创业投资中心（有限合伙）</w:t>
            </w:r>
          </w:p>
        </w:tc>
        <w:tc>
          <w:tcPr>
            <w:tcW w:w="288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甘肃兰银金融租赁股份有限公司</w:t>
            </w:r>
          </w:p>
        </w:tc>
        <w:tc>
          <w:tcPr>
            <w:tcW w:w="288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31,019,613.00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29,107,404.30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288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41,019,613.00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39,107,404.30</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53" w:name="_Toc989135"/>
      <w:r>
        <w:rPr>
          <w:rFonts w:ascii="宋体" w:hAnsi="宋体" w:cs="宋体"/>
          <w:b/>
          <w:bCs/>
        </w:rPr>
        <w:t>10、投资性房地产</w:t>
      </w:r>
      <w:bookmarkEnd w:id="253"/>
    </w:p>
    <w:p>
      <w:pPr>
        <w:keepNext/>
        <w:keepLines/>
        <w:spacing w:before="300" w:after="300" w:line="280" w:lineRule="exact"/>
        <w:outlineLvl w:val="3"/>
        <w:rPr>
          <w:rFonts w:ascii="宋体" w:hAnsi="宋体" w:eastAsia="宋体" w:cs="宋体"/>
          <w:b/>
          <w:bCs/>
          <w:sz w:val="18"/>
          <w:szCs w:val="18"/>
        </w:rPr>
      </w:pPr>
      <w:bookmarkStart w:id="254" w:name="_Toc989136"/>
      <w:r>
        <w:rPr>
          <w:rFonts w:ascii="宋体" w:hAnsi="宋体" w:eastAsia="宋体" w:cs="宋体"/>
          <w:b/>
          <w:bCs/>
          <w:sz w:val="18"/>
          <w:szCs w:val="18"/>
        </w:rPr>
        <w:t>（1） 采用成本计量模式的投资性房地产</w:t>
      </w:r>
      <w:bookmarkEnd w:id="254"/>
    </w:p>
    <w:p>
      <w:pPr>
        <w:spacing w:line="240" w:lineRule="exact"/>
        <w:rPr>
          <w:rFonts w:ascii="宋体" w:hAnsi="宋体" w:eastAsia="宋体" w:cs="宋体"/>
          <w:sz w:val="18"/>
          <w:szCs w:val="18"/>
        </w:rPr>
      </w:pPr>
      <w:r>
        <w:rPr>
          <w:szCs w:val="24"/>
        </w:rPr>
        <w:t>√</w:t>
      </w:r>
      <w:r>
        <w:rPr>
          <w:rFonts w:ascii="宋体" w:hAnsi="宋体" w:eastAsia="宋体" w:cs="宋体"/>
          <w:sz w:val="18"/>
          <w:szCs w:val="18"/>
        </w:rPr>
        <w:t>适用 □不适用</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61"/>
        <w:gridCol w:w="1701"/>
        <w:gridCol w:w="1701"/>
        <w:gridCol w:w="1417"/>
        <w:gridCol w:w="155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房屋、建筑物</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土地使用权</w:t>
            </w:r>
          </w:p>
        </w:tc>
        <w:tc>
          <w:tcPr>
            <w:tcW w:w="14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在建工程</w:t>
            </w:r>
          </w:p>
        </w:tc>
        <w:tc>
          <w:tcPr>
            <w:tcW w:w="155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一、账面原值</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1.期初余额</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33,525,526.55</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5,516,004.42</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39,041,530.97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2.本期增加金额</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（1）外购</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（2）存货\固定资产\在建工程转入</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（3）企业合并增加</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3.本期减少金额</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10,092,554.16</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10,092,554.16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（1）处置</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10,092,554.16</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10,092,554.16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（2）其他转出</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4.期末余额</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23,432,972.39</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5,516,004.42</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28,948,976.81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二、累计折旧和累计摊销</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1.期初余额</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15,923,037.77</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1,221,616.47</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17,144,654.24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2.本期增加金额</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1,392,600.72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110,320.08</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1,502,920.80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（1）计提或摊销</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1,392,600.72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110,320.08</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1,502,920.80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3.本期减少金额</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5,552,761.15</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5,552,761.15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（1）处置</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5,552,761.15</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5,552,761.15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（2）其他转出</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4.期末余额</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11,762,877.34</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1,331,936.55</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13,094,813.89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三、减值准备</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1.期初余额</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2.本期增加金额</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（1）计提</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3.本期减少金额</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（1）处置</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（2）其他转出</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4.期末余额</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四、账面价值</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1.期末账面价值</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11,670,095.05</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4,184,067.87</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15,854,162.92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6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2.期初账面价值</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17,602,488.78</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4,294,387.95</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21,896,876.73</w:t>
            </w:r>
          </w:p>
        </w:tc>
      </w:tr>
    </w:tbl>
    <w:p>
      <w:pPr>
        <w:keepNext/>
        <w:keepLines/>
        <w:spacing w:before="300" w:after="300" w:line="280" w:lineRule="exact"/>
        <w:outlineLvl w:val="3"/>
        <w:rPr>
          <w:rFonts w:ascii="宋体" w:hAnsi="宋体" w:eastAsia="宋体" w:cs="宋体"/>
          <w:b/>
          <w:bCs/>
          <w:sz w:val="18"/>
          <w:szCs w:val="18"/>
        </w:rPr>
      </w:pPr>
      <w:bookmarkStart w:id="255" w:name="_Toc989137"/>
      <w:r>
        <w:rPr>
          <w:rFonts w:ascii="宋体" w:hAnsi="宋体" w:eastAsia="宋体" w:cs="宋体"/>
          <w:b/>
          <w:bCs/>
          <w:sz w:val="18"/>
          <w:szCs w:val="18"/>
        </w:rPr>
        <w:t>（2） 采用公允价值计量模式的投资性房地产</w:t>
      </w:r>
      <w:bookmarkEnd w:id="255"/>
    </w:p>
    <w:p>
      <w:pPr>
        <w:spacing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keepNext/>
        <w:keepLines/>
        <w:spacing w:before="300" w:after="300" w:line="280" w:lineRule="exact"/>
        <w:outlineLvl w:val="3"/>
        <w:rPr>
          <w:rFonts w:ascii="宋体" w:hAnsi="宋体" w:eastAsia="宋体" w:cs="宋体"/>
          <w:b/>
          <w:bCs/>
          <w:sz w:val="18"/>
          <w:szCs w:val="18"/>
        </w:rPr>
      </w:pPr>
      <w:bookmarkStart w:id="256" w:name="_Toc989138"/>
      <w:r>
        <w:rPr>
          <w:rFonts w:ascii="宋体" w:hAnsi="宋体" w:eastAsia="宋体" w:cs="宋体"/>
          <w:b/>
          <w:bCs/>
          <w:sz w:val="18"/>
          <w:szCs w:val="18"/>
        </w:rPr>
        <w:t>（3） 未办妥产权证书的投资性房地产情况</w:t>
      </w:r>
      <w:bookmarkEnd w:id="256"/>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未办妥产权证书原因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商铺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820,763.39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正在办理</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57" w:name="_Toc989139"/>
      <w:r>
        <w:rPr>
          <w:rFonts w:ascii="宋体" w:hAnsi="宋体" w:cs="宋体"/>
          <w:b/>
          <w:bCs/>
        </w:rPr>
        <w:t>11、固定资产</w:t>
      </w:r>
      <w:bookmarkEnd w:id="257"/>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固定资产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273,310,291.64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238,954,012.84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273,310,291.64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238,954,012.84</w:t>
            </w:r>
          </w:p>
        </w:tc>
      </w:tr>
    </w:tbl>
    <w:p>
      <w:pPr>
        <w:keepNext/>
        <w:keepLines/>
        <w:spacing w:before="300" w:after="300" w:line="280" w:lineRule="exact"/>
        <w:outlineLvl w:val="3"/>
        <w:rPr>
          <w:rFonts w:ascii="宋体" w:hAnsi="宋体" w:eastAsia="宋体" w:cs="宋体"/>
          <w:b/>
          <w:bCs/>
          <w:szCs w:val="21"/>
        </w:rPr>
      </w:pPr>
      <w:bookmarkStart w:id="258" w:name="_Toc989140"/>
      <w:r>
        <w:rPr>
          <w:rFonts w:ascii="宋体" w:hAnsi="宋体" w:eastAsia="宋体" w:cs="宋体"/>
          <w:b/>
          <w:bCs/>
          <w:szCs w:val="21"/>
        </w:rPr>
        <w:t>（1） 固定资产情况</w:t>
      </w:r>
      <w:bookmarkEnd w:id="258"/>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04"/>
        <w:gridCol w:w="1205"/>
        <w:gridCol w:w="1205"/>
        <w:gridCol w:w="1205"/>
        <w:gridCol w:w="1205"/>
        <w:gridCol w:w="1205"/>
        <w:gridCol w:w="1205"/>
        <w:gridCol w:w="120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房屋及建筑物</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光伏发电系统</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供水管网</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机器设备</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运输设备</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电子及办公设备</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一、账面原值：</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1.期初余额</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234,314,656.62</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17,900,315.03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40,935,052.19</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92,894,833.23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11,922,140.48</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25,102,182.73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423,069,180.28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2.本期增加金额</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32,557,318.01</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189,637.79</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56,540,589.63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574,978.23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8,966,129.59</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98,828,653.25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（1）购置</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644,396.41</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8,260,503.46</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13,578.76</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790,584.48</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9,709,063.11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（2）在建工程转入</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8,638,543.01</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189,637.79</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5,961,457.20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544,481.00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15,334,119.00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（3）企业合并增加</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23,274,378.59</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42,318,628.97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561,399.47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7,631,064.11</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73,785,471.14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3.本期减少金额</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1,489,836.98</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6,183,886.43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37,641.71</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1,457,172.93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9,168,538.05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（1）处置或报废</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1,489,836.98</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6,183,886.43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37,641.71</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1,457,172.93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9,168,538.05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4.期末余额</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265,382,137.65</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17,900,315.03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41,124,689.98</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143,251,536.43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12,459,477.00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32,611,139.39</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512,729,295.48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二、累计折旧</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1.期初余额</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82,928,892.90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5,761,689.36</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12,760,908.39</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53,928,863.95</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10,216,689.13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18,518,123.71</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184,115,167.44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2.本期增加金额</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20,625,304.37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850,199.10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1,798,306.44</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31,014,805.67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835,914.94</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6,794,090.20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61,918,620.72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（1）计提</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11,892,177.05</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850,199.10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1,798,306.44</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8,938,369.54</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425,206.13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2,160,547.77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26,064,806.03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（2）合并转入</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8,733,127.32</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22,076,436.13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410,708.81</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4,633,542.43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35,853,814.69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3.本期减少金额</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809,326.57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4,570,694.02</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31,301.94</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1,203,461.79</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6,614,784.32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（1）处置或报废</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809,326.57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4,570,694.02</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31,301.94</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1,203,461.79</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6,614,784.32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4.期末余额</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102,744,870.70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6,611,888.46</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14,559,214.83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80,372,975.60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11,021,302.13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24,108,752.12</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239,419,003.84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三、减值准备</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1.期初余额</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2.本期增加金额</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（1）计提</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3.本期减少金额</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（1）处置或报废</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4.期末余额</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四、账面价值</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1.期末账面价值</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162,637,266.95</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11,288,426.57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26,565,475.15</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62,878,560.83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1,438,174.87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8,502,387.27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273,310,291.64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2.期初账面价值</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151,385,763.72</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12,138,625.67</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28,174,143.80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38,965,969.28</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1,705,451.35</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6,584,059.02</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238,954,012.84</w:t>
            </w:r>
          </w:p>
        </w:tc>
      </w:tr>
    </w:tbl>
    <w:p>
      <w:pPr>
        <w:keepNext/>
        <w:keepLines/>
        <w:spacing w:before="300" w:after="300" w:line="280" w:lineRule="exact"/>
        <w:outlineLvl w:val="3"/>
        <w:rPr>
          <w:rFonts w:ascii="宋体" w:hAnsi="宋体" w:eastAsia="宋体" w:cs="宋体"/>
          <w:b/>
          <w:bCs/>
          <w:szCs w:val="21"/>
        </w:rPr>
      </w:pPr>
      <w:bookmarkStart w:id="259" w:name="_Toc989141"/>
      <w:r>
        <w:rPr>
          <w:rFonts w:ascii="宋体" w:hAnsi="宋体" w:eastAsia="宋体" w:cs="宋体"/>
          <w:b/>
          <w:bCs/>
          <w:szCs w:val="21"/>
        </w:rPr>
        <w:t>（2） 未办妥产权证书的固定资产情况</w:t>
      </w:r>
      <w:bookmarkEnd w:id="259"/>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未办妥产权证书的原因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厂房及办公楼</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2,742,875.57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正在办理</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60" w:name="_Toc989142"/>
      <w:r>
        <w:rPr>
          <w:rFonts w:ascii="宋体" w:hAnsi="宋体" w:cs="宋体"/>
          <w:b/>
          <w:bCs/>
        </w:rPr>
        <w:t>12、在建工程</w:t>
      </w:r>
      <w:bookmarkEnd w:id="260"/>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在建工程</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31,372,823.82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12,755,871.64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31,372,823.82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12,755,871.64</w:t>
            </w:r>
          </w:p>
        </w:tc>
      </w:tr>
    </w:tbl>
    <w:p>
      <w:pPr>
        <w:keepNext/>
        <w:keepLines/>
        <w:spacing w:before="300" w:after="300" w:line="280" w:lineRule="exact"/>
        <w:outlineLvl w:val="3"/>
        <w:rPr>
          <w:rFonts w:ascii="宋体" w:hAnsi="宋体" w:eastAsia="宋体" w:cs="宋体"/>
          <w:b/>
          <w:bCs/>
          <w:szCs w:val="21"/>
        </w:rPr>
      </w:pPr>
      <w:bookmarkStart w:id="261" w:name="_Toc989143"/>
      <w:r>
        <w:rPr>
          <w:rFonts w:ascii="宋体" w:hAnsi="宋体" w:eastAsia="宋体" w:cs="宋体"/>
          <w:b/>
          <w:bCs/>
          <w:szCs w:val="21"/>
        </w:rPr>
        <w:t>（1） 在建工程情况</w:t>
      </w:r>
      <w:bookmarkEnd w:id="261"/>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600"/>
        <w:gridCol w:w="1154"/>
        <w:gridCol w:w="1539"/>
        <w:gridCol w:w="1418"/>
        <w:gridCol w:w="1134"/>
        <w:gridCol w:w="141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293"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96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60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15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w:t>
            </w:r>
          </w:p>
        </w:tc>
        <w:tc>
          <w:tcPr>
            <w:tcW w:w="153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13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w:t>
            </w:r>
          </w:p>
        </w:tc>
        <w:tc>
          <w:tcPr>
            <w:tcW w:w="14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设备安装</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14,356.44</w:t>
            </w:r>
          </w:p>
        </w:tc>
        <w:tc>
          <w:tcPr>
            <w:tcW w:w="11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14,356.44</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14,356.44</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14,356.44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管网建设</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3,322,211.90</w:t>
            </w:r>
          </w:p>
        </w:tc>
        <w:tc>
          <w:tcPr>
            <w:tcW w:w="11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3,322,211.90</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3,486,726.38</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3,486,726.38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建筑工程</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9,900.99</w:t>
            </w:r>
          </w:p>
        </w:tc>
        <w:tc>
          <w:tcPr>
            <w:tcW w:w="11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9,900.99</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9,900.99</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9,900.99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水厂二期扩建</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9,244,887.83</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9,244,887.83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智慧工厂项目</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18,623,514.42</w:t>
            </w:r>
          </w:p>
        </w:tc>
        <w:tc>
          <w:tcPr>
            <w:tcW w:w="11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18,623,514.42</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天和二期厂房</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5,981,345.29</w:t>
            </w:r>
          </w:p>
        </w:tc>
        <w:tc>
          <w:tcPr>
            <w:tcW w:w="11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5,981,345.29</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技改工程</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3,421,494.78</w:t>
            </w:r>
          </w:p>
        </w:tc>
        <w:tc>
          <w:tcPr>
            <w:tcW w:w="11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3,421,494.78</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31,372,823.82</w:t>
            </w:r>
          </w:p>
        </w:tc>
        <w:tc>
          <w:tcPr>
            <w:tcW w:w="11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3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31,372,823.82</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12,755,871.64</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12,755,871.64</w:t>
            </w:r>
          </w:p>
        </w:tc>
      </w:tr>
    </w:tbl>
    <w:p>
      <w:pPr>
        <w:keepNext/>
        <w:keepLines/>
        <w:spacing w:before="300" w:after="300" w:line="280" w:lineRule="exact"/>
        <w:outlineLvl w:val="3"/>
        <w:rPr>
          <w:rFonts w:ascii="宋体" w:hAnsi="宋体" w:eastAsia="宋体" w:cs="宋体"/>
          <w:b/>
          <w:bCs/>
          <w:szCs w:val="21"/>
        </w:rPr>
      </w:pPr>
      <w:bookmarkStart w:id="262" w:name="_Toc989144"/>
      <w:r>
        <w:rPr>
          <w:rFonts w:ascii="宋体" w:hAnsi="宋体" w:eastAsia="宋体" w:cs="宋体"/>
          <w:b/>
          <w:bCs/>
          <w:szCs w:val="21"/>
        </w:rPr>
        <w:t>（2） 重要在建工程项目本期变动情况</w:t>
      </w:r>
      <w:bookmarkEnd w:id="262"/>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42"/>
        <w:gridCol w:w="742"/>
        <w:gridCol w:w="742"/>
        <w:gridCol w:w="742"/>
        <w:gridCol w:w="742"/>
        <w:gridCol w:w="742"/>
        <w:gridCol w:w="741"/>
        <w:gridCol w:w="741"/>
        <w:gridCol w:w="741"/>
        <w:gridCol w:w="741"/>
        <w:gridCol w:w="741"/>
        <w:gridCol w:w="741"/>
        <w:gridCol w:w="74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项目名称</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预算数</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本期增加金额</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本期转入固定资产金额</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本期其他减少金额</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工程累计投入占预算比例</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工程进度</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利息资本化累计金额</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其中：本期利息资本化金额</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本期利息资本化率</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资金来源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管网建设</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3,486,726.38</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25,123.31</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189,637.79</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3,322,211.90</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水厂二期扩建</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9,244,887.83</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4,770,689.93</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14,015,577.76</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100%</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55,266.01</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10,145.14</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44.94%</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金融机构贷款</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智慧工厂项目</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18,623,514.42</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18,623,514.42</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技改工程</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3,421,494.78</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3,421,494.78</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天和二期厂房</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5,317,826.26</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1,709,268.79</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1,045,749.76</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5,981,345.29</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12,731,614.21</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32,158,648.70</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1,709,268.79</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15,250,965.31</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31,348,566.39</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55,266.01</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10,145.14</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44.94%</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tc>
      </w:tr>
    </w:tbl>
    <w:p>
      <w:pPr>
        <w:keepNext/>
        <w:keepLines/>
        <w:spacing w:before="300" w:after="300" w:line="280" w:lineRule="exact"/>
        <w:outlineLvl w:val="3"/>
        <w:rPr>
          <w:rFonts w:ascii="宋体" w:hAnsi="宋体" w:eastAsia="宋体" w:cs="宋体"/>
          <w:b/>
          <w:bCs/>
          <w:szCs w:val="21"/>
        </w:rPr>
      </w:pPr>
      <w:bookmarkStart w:id="263" w:name="_Toc989145"/>
      <w:r>
        <w:rPr>
          <w:rFonts w:ascii="宋体" w:hAnsi="宋体" w:eastAsia="宋体" w:cs="宋体"/>
          <w:b/>
          <w:bCs/>
          <w:szCs w:val="21"/>
        </w:rPr>
        <w:t>（3） 本期计提在建工程减值准备情况</w:t>
      </w:r>
      <w:bookmarkEnd w:id="263"/>
    </w:p>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64" w:name="_Toc989146"/>
      <w:r>
        <w:rPr>
          <w:rFonts w:ascii="宋体" w:hAnsi="宋体" w:cs="宋体"/>
          <w:b/>
          <w:bCs/>
        </w:rPr>
        <w:t>13、使用权资产</w:t>
      </w:r>
      <w:bookmarkEnd w:id="264"/>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房屋及建筑物</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一、账面原值：</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1.期初余额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133,845.67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133,845.67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2.本期增加金额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3.本期减少金额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4.期末余额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133,845.67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133,845.67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二、累计折旧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1.期初余额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57,362.40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57,362.40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2.本期增加金额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57,362.40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57,362.40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（1）计提</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57,362.40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57,362.40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3.本期减少金额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（1）处置</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4.期末余额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114,724.80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114,724.80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三、减值准备</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1.期初余额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2.本期增加金额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（1）计提</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3.本期减少金额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（1）处置</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4.期末余额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四、账面价值</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1.期末账面价值</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19,120.87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19,120.87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2.期初账面价值</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76,483.27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76,483.27</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65" w:name="_Toc989147"/>
      <w:r>
        <w:rPr>
          <w:rFonts w:ascii="宋体" w:hAnsi="宋体" w:cs="宋体"/>
          <w:b/>
          <w:bCs/>
        </w:rPr>
        <w:t>14、无形资产</w:t>
      </w:r>
      <w:bookmarkEnd w:id="265"/>
    </w:p>
    <w:p>
      <w:pPr>
        <w:keepNext/>
        <w:keepLines/>
        <w:spacing w:before="300" w:after="300" w:line="280" w:lineRule="exact"/>
        <w:outlineLvl w:val="3"/>
        <w:rPr>
          <w:rFonts w:ascii="宋体" w:hAnsi="宋体" w:eastAsia="宋体" w:cs="宋体"/>
          <w:b/>
          <w:bCs/>
          <w:szCs w:val="21"/>
        </w:rPr>
      </w:pPr>
      <w:bookmarkStart w:id="266" w:name="_Toc989148"/>
      <w:r>
        <w:rPr>
          <w:rFonts w:ascii="宋体" w:hAnsi="宋体" w:eastAsia="宋体" w:cs="宋体"/>
          <w:b/>
          <w:bCs/>
          <w:szCs w:val="21"/>
        </w:rPr>
        <w:t>（1） 无形资产情况</w:t>
      </w:r>
      <w:bookmarkEnd w:id="266"/>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560"/>
        <w:gridCol w:w="1417"/>
        <w:gridCol w:w="1559"/>
        <w:gridCol w:w="851"/>
        <w:gridCol w:w="1498"/>
        <w:gridCol w:w="1337"/>
        <w:gridCol w:w="141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4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土地使用权</w:t>
            </w:r>
          </w:p>
        </w:tc>
        <w:tc>
          <w:tcPr>
            <w:tcW w:w="155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专利权</w:t>
            </w:r>
          </w:p>
        </w:tc>
        <w:tc>
          <w:tcPr>
            <w:tcW w:w="85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非专利技术</w:t>
            </w: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软件</w:t>
            </w: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其他</w:t>
            </w:r>
          </w:p>
        </w:tc>
        <w:tc>
          <w:tcPr>
            <w:tcW w:w="14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一、账面原值：</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1.期初余额</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71,620,988.25</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8,000,000.00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10,896,672.87</w:t>
            </w: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1,276,190.47</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91,793,851.59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2.本期增加金额</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7,268,929.41</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4,331,400.00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517,364.30</w:t>
            </w: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1,614,900.00</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13,732,593.71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（1）购置</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（2）内部研发</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（3）企业合并增加</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7,268,929.41</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4,331,400.00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164,002.45</w:t>
            </w: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1,614,900.00</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13,379,231.86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3.本期减少金额</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6,576,580.00</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6,576,580.00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（1）处置</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6,576,580.00</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6,576,580.00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4.期末余额</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72,313,337.66</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12,331,400.00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11,414,037.17</w:t>
            </w: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2,891,090.47</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98,949,865.30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二、累计摊销</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1.期初余额</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16,262,242.44</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4,933,333.43</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2,934,828.93</w:t>
            </w: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542,380.95</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24,672,785.75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2.本期增加金额</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4,104,013.87</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1,088,760.04</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1,233,440.45</w:t>
            </w: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127,619.04</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6,553,833.40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（1）计提</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1,517,187.70</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980,475.04</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1,069,438.00</w:t>
            </w: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127,619.04</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3,694,719.78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（2）合并转入</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2,586,826.17</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108,285.00</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164,002.45</w:t>
            </w: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2,859,113.62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3.本期减少金额</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1,731,833.26</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1,731,833.26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（1）处置</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1,731,833.26</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1,731,833.26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4.期末余额</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18,634,423.05</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6,022,093.47</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4,168,269.38</w:t>
            </w: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669,999.99</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29,494,785.89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三、减值准备</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1.期初余额</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2.本期增加金额</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（1）计提</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3.本期减少金额</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720" w:firstLineChars="400"/>
              <w:rPr>
                <w:rFonts w:ascii="宋体" w:hAnsi="宋体" w:eastAsia="宋体" w:cs="宋体"/>
                <w:sz w:val="18"/>
                <w:szCs w:val="18"/>
              </w:rPr>
            </w:pPr>
            <w:r>
              <w:rPr>
                <w:rFonts w:ascii="宋体" w:hAnsi="宋体" w:eastAsia="宋体" w:cs="宋体"/>
                <w:sz w:val="18"/>
                <w:szCs w:val="18"/>
              </w:rPr>
              <w:t>（1）处置</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4.期末余额</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四、账面价值</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1.期末账面价值</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53,678,914.61</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6,309,306.53</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7,245,767.79</w:t>
            </w: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2,221,090.48</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69,455,079.41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2.期初账面价值</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55,358,745.81</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3,066,666.57</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9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7,961,843.94</w:t>
            </w:r>
          </w:p>
        </w:tc>
        <w:tc>
          <w:tcPr>
            <w:tcW w:w="133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733,809.52</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67,121,065.84</w:t>
            </w:r>
          </w:p>
        </w:tc>
      </w:tr>
    </w:tbl>
    <w:p>
      <w:pPr>
        <w:spacing w:line="240" w:lineRule="exact"/>
        <w:rPr>
          <w:rFonts w:ascii="宋体" w:hAnsi="宋体" w:eastAsia="宋体" w:cs="宋体"/>
          <w:sz w:val="18"/>
          <w:szCs w:val="18"/>
        </w:rPr>
      </w:pPr>
      <w:r>
        <w:rPr>
          <w:rFonts w:ascii="宋体" w:hAnsi="宋体" w:eastAsia="宋体" w:cs="宋体"/>
          <w:sz w:val="18"/>
          <w:szCs w:val="18"/>
        </w:rPr>
        <w:t>本期末通过公司内部研发形成的无形资产占无形资产余额的比例。</w:t>
      </w:r>
    </w:p>
    <w:p>
      <w:pPr>
        <w:pStyle w:val="4"/>
        <w:spacing w:line="280" w:lineRule="exact"/>
        <w:jc w:val="left"/>
        <w:rPr>
          <w:rFonts w:ascii="宋体" w:hAnsi="宋体" w:cs="宋体"/>
          <w:b/>
          <w:bCs/>
        </w:rPr>
      </w:pPr>
      <w:bookmarkStart w:id="267" w:name="_Toc989149"/>
      <w:r>
        <w:rPr>
          <w:rFonts w:ascii="宋体" w:hAnsi="宋体" w:cs="宋体"/>
          <w:b/>
          <w:bCs/>
        </w:rPr>
        <w:t>15、商誉</w:t>
      </w:r>
      <w:bookmarkEnd w:id="267"/>
    </w:p>
    <w:p>
      <w:pPr>
        <w:keepNext/>
        <w:keepLines/>
        <w:spacing w:before="300" w:after="300" w:line="280" w:lineRule="exact"/>
        <w:outlineLvl w:val="3"/>
        <w:rPr>
          <w:rFonts w:ascii="宋体" w:hAnsi="宋体" w:eastAsia="宋体" w:cs="宋体"/>
          <w:b/>
          <w:bCs/>
          <w:szCs w:val="21"/>
        </w:rPr>
      </w:pPr>
      <w:bookmarkStart w:id="268" w:name="_Toc989150"/>
      <w:r>
        <w:rPr>
          <w:rFonts w:ascii="宋体" w:hAnsi="宋体" w:eastAsia="宋体" w:cs="宋体"/>
          <w:b/>
          <w:bCs/>
          <w:szCs w:val="21"/>
        </w:rPr>
        <w:t>（1） 商誉账面原值</w:t>
      </w:r>
      <w:bookmarkEnd w:id="268"/>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701"/>
        <w:gridCol w:w="1418"/>
        <w:gridCol w:w="1701"/>
        <w:gridCol w:w="992"/>
        <w:gridCol w:w="1134"/>
        <w:gridCol w:w="1134"/>
        <w:gridCol w:w="155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被投资单位名称或形成商誉的事项</w:t>
            </w:r>
          </w:p>
        </w:tc>
        <w:tc>
          <w:tcPr>
            <w:tcW w:w="141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269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2268"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559"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vMerge w:val="continue"/>
            <w:tcBorders>
              <w:top w:val="single" w:color="auto" w:sz="2" w:space="0"/>
              <w:left w:val="single" w:color="auto" w:sz="2" w:space="0"/>
              <w:bottom w:val="single" w:color="auto" w:sz="2" w:space="0"/>
              <w:right w:val="single" w:color="auto" w:sz="2" w:space="0"/>
            </w:tcBorders>
            <w:vAlign w:val="center"/>
          </w:tcPr>
          <w:p/>
        </w:tc>
        <w:tc>
          <w:tcPr>
            <w:tcW w:w="141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企业合并形成的</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处置</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p>
        </w:tc>
        <w:tc>
          <w:tcPr>
            <w:tcW w:w="1559"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温岭甬岭水表有限公司</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42,067,301.94</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42,067,301.94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杭州三川国德物联网科技有限公司</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1,167,649.75</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1,167,649.75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167,309,250.12</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167,309,250.12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43,234,951.69</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167,309,250.12</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210,544,201.81</w:t>
            </w:r>
          </w:p>
        </w:tc>
      </w:tr>
    </w:tbl>
    <w:p>
      <w:pPr>
        <w:keepNext/>
        <w:keepLines/>
        <w:spacing w:before="300" w:after="300" w:line="280" w:lineRule="exact"/>
        <w:outlineLvl w:val="3"/>
        <w:rPr>
          <w:rFonts w:ascii="宋体" w:hAnsi="宋体" w:eastAsia="宋体" w:cs="宋体"/>
          <w:b/>
          <w:bCs/>
          <w:szCs w:val="21"/>
        </w:rPr>
      </w:pPr>
      <w:bookmarkStart w:id="269" w:name="_Toc989151"/>
      <w:r>
        <w:rPr>
          <w:rFonts w:ascii="宋体" w:hAnsi="宋体" w:eastAsia="宋体" w:cs="宋体"/>
          <w:b/>
          <w:bCs/>
          <w:szCs w:val="21"/>
        </w:rPr>
        <w:t>（2） 商誉减值准备</w:t>
      </w:r>
      <w:bookmarkEnd w:id="269"/>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600"/>
        <w:gridCol w:w="1154"/>
        <w:gridCol w:w="1377"/>
        <w:gridCol w:w="1377"/>
        <w:gridCol w:w="1195"/>
        <w:gridCol w:w="155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被投资单位名称或形成商誉的事项</w:t>
            </w:r>
          </w:p>
        </w:tc>
        <w:tc>
          <w:tcPr>
            <w:tcW w:w="160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2531"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257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559"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vAlign w:val="center"/>
          </w:tcPr>
          <w:p/>
        </w:tc>
        <w:tc>
          <w:tcPr>
            <w:tcW w:w="160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15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处置</w:t>
            </w:r>
          </w:p>
        </w:tc>
        <w:tc>
          <w:tcPr>
            <w:tcW w:w="1195"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p>
        </w:tc>
        <w:tc>
          <w:tcPr>
            <w:tcW w:w="1559"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温岭甬岭水表有限公司</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37,836,454.73</w:t>
            </w:r>
          </w:p>
        </w:tc>
        <w:tc>
          <w:tcPr>
            <w:tcW w:w="11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37,836,454.73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37,836,454.73</w:t>
            </w:r>
          </w:p>
        </w:tc>
        <w:tc>
          <w:tcPr>
            <w:tcW w:w="115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37,836,454.73</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商誉所在资产组或资产组组合的相关信息</w:t>
      </w:r>
    </w:p>
    <w:p>
      <w:pPr>
        <w:pStyle w:val="11"/>
        <w:spacing w:before="40" w:beforeAutospacing="0" w:after="40" w:afterAutospacing="0"/>
        <w:ind w:firstLine="357"/>
      </w:pPr>
      <w:r>
        <w:rPr>
          <w:rFonts w:hint="eastAsia"/>
          <w:color w:val="000000"/>
          <w:sz w:val="18"/>
          <w:szCs w:val="18"/>
        </w:rPr>
        <w:t>（1）温岭甬岭水表有限公司作为单一实体，独立于公司内其他单位，独立产生现金流量，故将温岭甬岭水表有限公司全部主营业务经营性有形资产和可确认的无形资产作为一个资产组（不包含营运资本及非经营性资产）；</w:t>
      </w:r>
    </w:p>
    <w:p>
      <w:pPr>
        <w:pStyle w:val="11"/>
        <w:spacing w:before="40" w:beforeAutospacing="0" w:after="40" w:afterAutospacing="0"/>
        <w:ind w:firstLine="357"/>
        <w:rPr>
          <w:color w:val="000000"/>
          <w:sz w:val="18"/>
          <w:szCs w:val="18"/>
        </w:rPr>
      </w:pPr>
      <w:r>
        <w:rPr>
          <w:rFonts w:hint="eastAsia"/>
          <w:color w:val="000000"/>
          <w:sz w:val="18"/>
          <w:szCs w:val="18"/>
        </w:rPr>
        <w:t>（2）杭州三川国德物联网科技有限公司作为单一实体，独立于公司内其他单位，独立产生现金流量，故将杭州三川国德物联网科技有限公司全部主营业务经营性有形资产和可确认的无形资产作为一个资产组（不包含营运资本及非经营性资产）。</w:t>
      </w:r>
    </w:p>
    <w:p>
      <w:pPr>
        <w:pStyle w:val="11"/>
        <w:spacing w:before="40" w:beforeAutospacing="0" w:after="40" w:afterAutospacing="0"/>
        <w:ind w:firstLine="357"/>
        <w:rPr>
          <w:color w:val="000000"/>
          <w:sz w:val="18"/>
          <w:szCs w:val="18"/>
        </w:rPr>
      </w:pPr>
      <w:r>
        <w:rPr>
          <w:rFonts w:hint="eastAsia"/>
          <w:color w:val="000000"/>
          <w:sz w:val="18"/>
          <w:szCs w:val="18"/>
        </w:rPr>
        <w:t>（3）赣州天和永磁材料有限公司作为单一实体，独立于公司内其他单位，独立产生现金流量，故将赣州天和永磁材料有限公司全部主营业务经营性有形资产和可确认的无形资产作为一个资产组（不包含营运资本及非经营性资产）。</w:t>
      </w:r>
    </w:p>
    <w:p>
      <w:pPr>
        <w:pStyle w:val="11"/>
        <w:spacing w:before="40" w:beforeAutospacing="0" w:after="40" w:afterAutospacing="0"/>
        <w:ind w:firstLine="357"/>
        <w:rPr>
          <w:color w:val="000000"/>
          <w:sz w:val="18"/>
          <w:szCs w:val="18"/>
        </w:rPr>
      </w:pPr>
      <w:r>
        <w:rPr>
          <w:rFonts w:hint="eastAsia"/>
          <w:color w:val="000000"/>
          <w:sz w:val="18"/>
          <w:szCs w:val="18"/>
        </w:rPr>
        <w:t>（4）资产组或资产组组合的主要构成及账面价值</w:t>
      </w:r>
    </w:p>
    <w:tbl>
      <w:tblPr>
        <w:tblStyle w:val="13"/>
        <w:tblW w:w="5000" w:type="pct"/>
        <w:tblInd w:w="0" w:type="dxa"/>
        <w:tblLayout w:type="autofit"/>
        <w:tblCellMar>
          <w:top w:w="0" w:type="dxa"/>
          <w:left w:w="0" w:type="dxa"/>
          <w:bottom w:w="0" w:type="dxa"/>
          <w:right w:w="0" w:type="dxa"/>
        </w:tblCellMar>
      </w:tblPr>
      <w:tblGrid>
        <w:gridCol w:w="3614"/>
        <w:gridCol w:w="4497"/>
        <w:gridCol w:w="1640"/>
      </w:tblGrid>
      <w:tr>
        <w:tblPrEx>
          <w:tblCellMar>
            <w:top w:w="0" w:type="dxa"/>
            <w:left w:w="0" w:type="dxa"/>
            <w:bottom w:w="0" w:type="dxa"/>
            <w:right w:w="0" w:type="dxa"/>
          </w:tblCellMar>
        </w:tblPrEx>
        <w:trPr>
          <w:trHeight w:val="283" w:hRule="atLeast"/>
          <w:tblHeader/>
        </w:trPr>
        <w:tc>
          <w:tcPr>
            <w:tcW w:w="1853" w:type="pct"/>
            <w:vMerge w:val="restart"/>
            <w:tcBorders>
              <w:top w:val="single" w:color="auto" w:sz="8" w:space="0"/>
              <w:left w:val="single" w:color="auto" w:sz="8" w:space="0"/>
              <w:bottom w:val="single" w:color="auto" w:sz="8" w:space="0"/>
              <w:right w:val="single" w:color="auto" w:sz="8" w:space="0"/>
            </w:tcBorders>
            <w:tcMar>
              <w:top w:w="0" w:type="dxa"/>
              <w:left w:w="57" w:type="dxa"/>
              <w:bottom w:w="0" w:type="dxa"/>
              <w:right w:w="57" w:type="dxa"/>
            </w:tcMar>
            <w:vAlign w:val="center"/>
          </w:tcPr>
          <w:p>
            <w:pPr>
              <w:pStyle w:val="11"/>
              <w:spacing w:before="0" w:beforeAutospacing="0" w:after="0" w:afterAutospacing="0"/>
              <w:jc w:val="center"/>
            </w:pPr>
            <w:r>
              <w:rPr>
                <w:rFonts w:hint="eastAsia"/>
                <w:sz w:val="18"/>
                <w:szCs w:val="18"/>
              </w:rPr>
              <w:t>商誉形成事项</w:t>
            </w:r>
          </w:p>
        </w:tc>
        <w:tc>
          <w:tcPr>
            <w:tcW w:w="3147" w:type="pct"/>
            <w:gridSpan w:val="2"/>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pPr>
              <w:pStyle w:val="11"/>
              <w:spacing w:before="0" w:beforeAutospacing="0" w:after="0" w:afterAutospacing="0"/>
              <w:jc w:val="center"/>
            </w:pPr>
            <w:r>
              <w:rPr>
                <w:rFonts w:hint="eastAsia"/>
                <w:sz w:val="18"/>
                <w:szCs w:val="18"/>
              </w:rPr>
              <w:t>资产组或资产组组合</w:t>
            </w:r>
          </w:p>
        </w:tc>
      </w:tr>
      <w:tr>
        <w:tblPrEx>
          <w:tblCellMar>
            <w:top w:w="0" w:type="dxa"/>
            <w:left w:w="0" w:type="dxa"/>
            <w:bottom w:w="0" w:type="dxa"/>
            <w:right w:w="0" w:type="dxa"/>
          </w:tblCellMar>
        </w:tblPrEx>
        <w:trPr>
          <w:trHeight w:val="283" w:hRule="atLeast"/>
        </w:trPr>
        <w:tc>
          <w:tcPr>
            <w:tcW w:w="0" w:type="auto"/>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eastAsia="宋体" w:cs="宋体"/>
                <w:sz w:val="24"/>
                <w:szCs w:val="24"/>
              </w:rPr>
            </w:pPr>
          </w:p>
        </w:tc>
        <w:tc>
          <w:tcPr>
            <w:tcW w:w="2306" w:type="pct"/>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pPr>
              <w:pStyle w:val="11"/>
              <w:spacing w:before="0" w:beforeAutospacing="0" w:after="0" w:afterAutospacing="0"/>
              <w:jc w:val="center"/>
            </w:pPr>
            <w:r>
              <w:rPr>
                <w:rFonts w:hint="eastAsia"/>
                <w:sz w:val="18"/>
                <w:szCs w:val="18"/>
              </w:rPr>
              <w:t>主要构成</w:t>
            </w:r>
          </w:p>
        </w:tc>
        <w:tc>
          <w:tcPr>
            <w:tcW w:w="840" w:type="pct"/>
            <w:tcBorders>
              <w:top w:val="nil"/>
              <w:left w:val="nil"/>
              <w:bottom w:val="single" w:color="auto" w:sz="8" w:space="0"/>
              <w:right w:val="single" w:color="auto" w:sz="8" w:space="0"/>
            </w:tcBorders>
            <w:tcMar>
              <w:top w:w="0" w:type="dxa"/>
              <w:left w:w="57" w:type="dxa"/>
              <w:bottom w:w="0" w:type="dxa"/>
              <w:right w:w="57" w:type="dxa"/>
            </w:tcMar>
            <w:vAlign w:val="center"/>
          </w:tcPr>
          <w:p>
            <w:pPr>
              <w:pStyle w:val="11"/>
              <w:spacing w:before="0" w:beforeAutospacing="0" w:after="0" w:afterAutospacing="0"/>
              <w:jc w:val="center"/>
            </w:pPr>
            <w:r>
              <w:rPr>
                <w:rFonts w:hint="eastAsia"/>
                <w:sz w:val="18"/>
                <w:szCs w:val="18"/>
              </w:rPr>
              <w:t>账面价值</w:t>
            </w:r>
          </w:p>
        </w:tc>
      </w:tr>
      <w:tr>
        <w:tblPrEx>
          <w:tblCellMar>
            <w:top w:w="0" w:type="dxa"/>
            <w:left w:w="0" w:type="dxa"/>
            <w:bottom w:w="0" w:type="dxa"/>
            <w:right w:w="0" w:type="dxa"/>
          </w:tblCellMar>
        </w:tblPrEx>
        <w:trPr>
          <w:trHeight w:val="283" w:hRule="atLeast"/>
        </w:trPr>
        <w:tc>
          <w:tcPr>
            <w:tcW w:w="1853" w:type="pct"/>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pPr>
              <w:pStyle w:val="11"/>
              <w:spacing w:before="0" w:beforeAutospacing="0" w:after="0" w:afterAutospacing="0"/>
              <w:jc w:val="both"/>
            </w:pPr>
            <w:r>
              <w:rPr>
                <w:rFonts w:hint="eastAsia"/>
                <w:sz w:val="18"/>
                <w:szCs w:val="18"/>
              </w:rPr>
              <w:t>温岭甬岭水表有限公司</w:t>
            </w:r>
          </w:p>
        </w:tc>
        <w:tc>
          <w:tcPr>
            <w:tcW w:w="2306" w:type="pct"/>
            <w:tcBorders>
              <w:top w:val="nil"/>
              <w:left w:val="nil"/>
              <w:bottom w:val="single" w:color="auto" w:sz="8" w:space="0"/>
              <w:right w:val="single" w:color="auto" w:sz="8" w:space="0"/>
            </w:tcBorders>
            <w:tcMar>
              <w:top w:w="0" w:type="dxa"/>
              <w:left w:w="57" w:type="dxa"/>
              <w:bottom w:w="0" w:type="dxa"/>
              <w:right w:w="57" w:type="dxa"/>
            </w:tcMar>
            <w:vAlign w:val="center"/>
          </w:tcPr>
          <w:p>
            <w:pPr>
              <w:pStyle w:val="11"/>
              <w:spacing w:before="0" w:beforeAutospacing="0" w:after="0" w:afterAutospacing="0"/>
              <w:jc w:val="both"/>
            </w:pPr>
            <w:r>
              <w:rPr>
                <w:rFonts w:hint="eastAsia"/>
                <w:sz w:val="18"/>
                <w:szCs w:val="18"/>
              </w:rPr>
              <w:t>温岭甬岭水表有限公司长期资产</w:t>
            </w:r>
          </w:p>
        </w:tc>
        <w:tc>
          <w:tcPr>
            <w:tcW w:w="840" w:type="pct"/>
            <w:tcBorders>
              <w:top w:val="nil"/>
              <w:left w:val="nil"/>
              <w:bottom w:val="single" w:color="auto" w:sz="8" w:space="0"/>
              <w:right w:val="single" w:color="auto" w:sz="8" w:space="0"/>
            </w:tcBorders>
            <w:tcMar>
              <w:top w:w="0" w:type="dxa"/>
              <w:left w:w="57" w:type="dxa"/>
              <w:bottom w:w="0" w:type="dxa"/>
              <w:right w:w="57" w:type="dxa"/>
            </w:tcMar>
            <w:vAlign w:val="center"/>
          </w:tcPr>
          <w:p>
            <w:pPr>
              <w:pStyle w:val="11"/>
              <w:spacing w:before="0" w:beforeAutospacing="0" w:after="0" w:afterAutospacing="0"/>
              <w:jc w:val="right"/>
            </w:pPr>
            <w:r>
              <w:rPr>
                <w:rFonts w:hint="eastAsia"/>
                <w:sz w:val="18"/>
                <w:szCs w:val="18"/>
              </w:rPr>
              <w:t>46,798,766.77</w:t>
            </w:r>
          </w:p>
        </w:tc>
      </w:tr>
      <w:tr>
        <w:tblPrEx>
          <w:tblCellMar>
            <w:top w:w="0" w:type="dxa"/>
            <w:left w:w="0" w:type="dxa"/>
            <w:bottom w:w="0" w:type="dxa"/>
            <w:right w:w="0" w:type="dxa"/>
          </w:tblCellMar>
        </w:tblPrEx>
        <w:trPr>
          <w:trHeight w:val="283" w:hRule="atLeast"/>
        </w:trPr>
        <w:tc>
          <w:tcPr>
            <w:tcW w:w="1853" w:type="pct"/>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pPr>
              <w:pStyle w:val="11"/>
              <w:spacing w:before="0" w:beforeAutospacing="0" w:after="0" w:afterAutospacing="0"/>
              <w:jc w:val="both"/>
            </w:pPr>
            <w:r>
              <w:rPr>
                <w:rFonts w:hint="eastAsia"/>
                <w:sz w:val="18"/>
                <w:szCs w:val="18"/>
              </w:rPr>
              <w:t>杭州三川国德物联网科技有限公司</w:t>
            </w:r>
          </w:p>
        </w:tc>
        <w:tc>
          <w:tcPr>
            <w:tcW w:w="2306" w:type="pct"/>
            <w:tcBorders>
              <w:top w:val="nil"/>
              <w:left w:val="nil"/>
              <w:bottom w:val="single" w:color="auto" w:sz="8" w:space="0"/>
              <w:right w:val="single" w:color="auto" w:sz="8" w:space="0"/>
            </w:tcBorders>
            <w:tcMar>
              <w:top w:w="0" w:type="dxa"/>
              <w:left w:w="57" w:type="dxa"/>
              <w:bottom w:w="0" w:type="dxa"/>
              <w:right w:w="57" w:type="dxa"/>
            </w:tcMar>
            <w:vAlign w:val="center"/>
          </w:tcPr>
          <w:p>
            <w:pPr>
              <w:pStyle w:val="11"/>
              <w:spacing w:before="0" w:beforeAutospacing="0" w:after="0" w:afterAutospacing="0"/>
              <w:jc w:val="both"/>
            </w:pPr>
            <w:r>
              <w:rPr>
                <w:rFonts w:hint="eastAsia"/>
                <w:sz w:val="18"/>
                <w:szCs w:val="18"/>
              </w:rPr>
              <w:t>杭州三川国德物联网科技有限公司长期资产</w:t>
            </w:r>
          </w:p>
        </w:tc>
        <w:tc>
          <w:tcPr>
            <w:tcW w:w="840" w:type="pct"/>
            <w:tcBorders>
              <w:top w:val="nil"/>
              <w:left w:val="nil"/>
              <w:bottom w:val="single" w:color="auto" w:sz="8" w:space="0"/>
              <w:right w:val="single" w:color="auto" w:sz="8" w:space="0"/>
            </w:tcBorders>
            <w:tcMar>
              <w:top w:w="0" w:type="dxa"/>
              <w:left w:w="57" w:type="dxa"/>
              <w:bottom w:w="0" w:type="dxa"/>
              <w:right w:w="57" w:type="dxa"/>
            </w:tcMar>
            <w:vAlign w:val="center"/>
          </w:tcPr>
          <w:p>
            <w:pPr>
              <w:pStyle w:val="11"/>
              <w:spacing w:before="0" w:beforeAutospacing="0" w:after="0" w:afterAutospacing="0"/>
              <w:jc w:val="right"/>
            </w:pPr>
            <w:r>
              <w:rPr>
                <w:rFonts w:hint="eastAsia"/>
                <w:sz w:val="18"/>
                <w:szCs w:val="18"/>
              </w:rPr>
              <w:t>461,396.68</w:t>
            </w:r>
          </w:p>
        </w:tc>
      </w:tr>
      <w:tr>
        <w:tblPrEx>
          <w:tblCellMar>
            <w:top w:w="0" w:type="dxa"/>
            <w:left w:w="0" w:type="dxa"/>
            <w:bottom w:w="0" w:type="dxa"/>
            <w:right w:w="0" w:type="dxa"/>
          </w:tblCellMar>
        </w:tblPrEx>
        <w:trPr>
          <w:trHeight w:val="283" w:hRule="atLeast"/>
        </w:trPr>
        <w:tc>
          <w:tcPr>
            <w:tcW w:w="1853" w:type="pct"/>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pPr>
              <w:pStyle w:val="11"/>
              <w:spacing w:before="0" w:beforeAutospacing="0" w:after="0" w:afterAutospacing="0"/>
              <w:jc w:val="both"/>
            </w:pPr>
            <w:r>
              <w:rPr>
                <w:rFonts w:hint="eastAsia"/>
                <w:sz w:val="18"/>
                <w:szCs w:val="18"/>
              </w:rPr>
              <w:t>赣州天和永磁材料有限公司</w:t>
            </w:r>
          </w:p>
        </w:tc>
        <w:tc>
          <w:tcPr>
            <w:tcW w:w="2306" w:type="pct"/>
            <w:tcBorders>
              <w:top w:val="nil"/>
              <w:left w:val="nil"/>
              <w:bottom w:val="single" w:color="auto" w:sz="8" w:space="0"/>
              <w:right w:val="single" w:color="auto" w:sz="8" w:space="0"/>
            </w:tcBorders>
            <w:tcMar>
              <w:top w:w="0" w:type="dxa"/>
              <w:left w:w="57" w:type="dxa"/>
              <w:bottom w:w="0" w:type="dxa"/>
              <w:right w:w="57" w:type="dxa"/>
            </w:tcMar>
            <w:vAlign w:val="center"/>
          </w:tcPr>
          <w:p>
            <w:pPr>
              <w:pStyle w:val="11"/>
              <w:spacing w:before="0" w:beforeAutospacing="0" w:after="0" w:afterAutospacing="0"/>
              <w:jc w:val="both"/>
            </w:pPr>
            <w:r>
              <w:rPr>
                <w:rFonts w:hint="eastAsia"/>
                <w:sz w:val="18"/>
                <w:szCs w:val="18"/>
              </w:rPr>
              <w:t>赣州天和永磁材料有限公司长期资产</w:t>
            </w:r>
          </w:p>
        </w:tc>
        <w:tc>
          <w:tcPr>
            <w:tcW w:w="840" w:type="pct"/>
            <w:tcBorders>
              <w:top w:val="nil"/>
              <w:left w:val="nil"/>
              <w:bottom w:val="single" w:color="auto" w:sz="8" w:space="0"/>
              <w:right w:val="single" w:color="auto" w:sz="8" w:space="0"/>
            </w:tcBorders>
            <w:tcMar>
              <w:top w:w="0" w:type="dxa"/>
              <w:left w:w="57" w:type="dxa"/>
              <w:bottom w:w="0" w:type="dxa"/>
              <w:right w:w="57" w:type="dxa"/>
            </w:tcMar>
            <w:vAlign w:val="center"/>
          </w:tcPr>
          <w:p>
            <w:pPr>
              <w:pStyle w:val="11"/>
              <w:spacing w:before="0" w:beforeAutospacing="0" w:after="0" w:afterAutospacing="0"/>
              <w:jc w:val="right"/>
            </w:pPr>
            <w:r>
              <w:rPr>
                <w:rFonts w:hint="eastAsia"/>
                <w:sz w:val="18"/>
                <w:szCs w:val="18"/>
              </w:rPr>
              <w:t>55,159,525.77</w:t>
            </w:r>
          </w:p>
        </w:tc>
      </w:tr>
    </w:tbl>
    <w:p>
      <w:pPr>
        <w:pStyle w:val="11"/>
        <w:spacing w:before="40" w:beforeAutospacing="0" w:after="40" w:afterAutospacing="0"/>
        <w:ind w:firstLine="357"/>
        <w:rPr>
          <w:color w:val="000000"/>
          <w:sz w:val="18"/>
          <w:szCs w:val="18"/>
        </w:rPr>
      </w:pPr>
      <w:r>
        <w:rPr>
          <w:rFonts w:hint="eastAsia"/>
          <w:color w:val="000000"/>
          <w:sz w:val="18"/>
          <w:szCs w:val="18"/>
        </w:rPr>
        <w:t>说明：上述资产组或资产组组合与购买日、以前年度商誉减值测试时所确定的资产组或资产组组合一致。</w:t>
      </w:r>
    </w:p>
    <w:p>
      <w:pPr>
        <w:spacing w:before="100" w:after="100" w:line="240" w:lineRule="exact"/>
        <w:rPr>
          <w:rFonts w:ascii="宋体" w:hAnsi="宋体" w:eastAsia="宋体" w:cs="宋体"/>
          <w:sz w:val="18"/>
          <w:szCs w:val="18"/>
        </w:rPr>
      </w:pPr>
      <w:r>
        <w:rPr>
          <w:rFonts w:ascii="宋体" w:hAnsi="宋体" w:eastAsia="宋体" w:cs="宋体"/>
          <w:sz w:val="18"/>
          <w:szCs w:val="18"/>
        </w:rPr>
        <w:t>说明商誉减值测试过程、关键参数（如预计未来现金流量现值时的预测期增长率、稳定期增长率、利润率、折现率、预测期等）及商誉减值损失的确认方法：</w:t>
      </w:r>
    </w:p>
    <w:p>
      <w:pPr>
        <w:pStyle w:val="11"/>
        <w:spacing w:before="40" w:beforeAutospacing="0" w:after="40" w:afterAutospacing="0"/>
        <w:ind w:firstLine="357"/>
        <w:rPr>
          <w:color w:val="000000"/>
          <w:sz w:val="18"/>
          <w:szCs w:val="18"/>
        </w:rPr>
      </w:pPr>
      <w:r>
        <w:rPr>
          <w:rFonts w:hint="eastAsia"/>
          <w:color w:val="000000"/>
          <w:sz w:val="18"/>
          <w:szCs w:val="18"/>
        </w:rPr>
        <w:t>（1）重要假设及依据</w:t>
      </w:r>
    </w:p>
    <w:p>
      <w:pPr>
        <w:pStyle w:val="11"/>
        <w:spacing w:before="40" w:beforeAutospacing="0" w:after="40" w:afterAutospacing="0"/>
        <w:ind w:firstLine="357"/>
        <w:rPr>
          <w:color w:val="000000"/>
          <w:sz w:val="18"/>
          <w:szCs w:val="18"/>
        </w:rPr>
      </w:pPr>
      <w:r>
        <w:rPr>
          <w:rFonts w:hint="eastAsia"/>
          <w:color w:val="000000"/>
          <w:sz w:val="18"/>
          <w:szCs w:val="18"/>
        </w:rPr>
        <w:t>①持续经营假设：持续经营假设是指假设资产组或资产组组合按基准日的用途和使用的方式等情况正常持续使用，不会出现不可预见的因素导致其无法持续经营，相应确定估值方法、参数和依据；</w:t>
      </w:r>
    </w:p>
    <w:p>
      <w:pPr>
        <w:pStyle w:val="11"/>
        <w:spacing w:before="40" w:beforeAutospacing="0" w:after="40" w:afterAutospacing="0"/>
        <w:ind w:firstLine="357"/>
        <w:rPr>
          <w:color w:val="000000"/>
          <w:sz w:val="18"/>
          <w:szCs w:val="18"/>
        </w:rPr>
      </w:pPr>
      <w:r>
        <w:rPr>
          <w:rFonts w:hint="eastAsia"/>
          <w:color w:val="000000"/>
          <w:sz w:val="18"/>
          <w:szCs w:val="18"/>
        </w:rPr>
        <w:t>②国家现行的有关法律法规、国家宏观经济形势无重大变化，利率、汇率、赋税基准及税率、政策性征收费用等外部经济环境不会发生不可预见的重大变化；</w:t>
      </w:r>
    </w:p>
    <w:p>
      <w:pPr>
        <w:pStyle w:val="11"/>
        <w:spacing w:before="40" w:beforeAutospacing="0" w:after="40" w:afterAutospacing="0"/>
        <w:ind w:firstLine="357"/>
        <w:rPr>
          <w:color w:val="000000"/>
          <w:sz w:val="18"/>
          <w:szCs w:val="18"/>
        </w:rPr>
      </w:pPr>
      <w:r>
        <w:rPr>
          <w:rFonts w:hint="eastAsia"/>
          <w:color w:val="000000"/>
          <w:sz w:val="18"/>
          <w:szCs w:val="18"/>
        </w:rPr>
        <w:t xml:space="preserve">③假设公司在现有的管理方式和管理水平的基础上，无其他人力不可抗拒因素及不可预见因素对企业造成重大不利影响；   </w:t>
      </w:r>
    </w:p>
    <w:p>
      <w:pPr>
        <w:pStyle w:val="11"/>
        <w:spacing w:before="40" w:beforeAutospacing="0" w:after="40" w:afterAutospacing="0"/>
        <w:ind w:firstLine="357"/>
        <w:rPr>
          <w:color w:val="000000"/>
          <w:sz w:val="18"/>
          <w:szCs w:val="18"/>
        </w:rPr>
      </w:pPr>
      <w:r>
        <w:rPr>
          <w:rFonts w:hint="eastAsia"/>
          <w:color w:val="000000"/>
          <w:sz w:val="18"/>
          <w:szCs w:val="18"/>
        </w:rPr>
        <w:t>④假设公司于年度内均匀获得净现金流。</w:t>
      </w:r>
    </w:p>
    <w:p>
      <w:pPr>
        <w:pStyle w:val="11"/>
        <w:spacing w:before="40" w:beforeAutospacing="0" w:after="40" w:afterAutospacing="0"/>
        <w:ind w:firstLine="357"/>
        <w:rPr>
          <w:color w:val="000000"/>
          <w:sz w:val="18"/>
          <w:szCs w:val="18"/>
        </w:rPr>
      </w:pPr>
      <w:r>
        <w:rPr>
          <w:rFonts w:hint="eastAsia"/>
          <w:color w:val="000000"/>
          <w:sz w:val="18"/>
          <w:szCs w:val="18"/>
        </w:rPr>
        <w:t>（2）关键参数</w:t>
      </w:r>
    </w:p>
    <w:tbl>
      <w:tblPr>
        <w:tblStyle w:val="13"/>
        <w:tblW w:w="5000" w:type="pct"/>
        <w:tblInd w:w="0" w:type="dxa"/>
        <w:tblLayout w:type="autofit"/>
        <w:tblCellMar>
          <w:top w:w="0" w:type="dxa"/>
          <w:left w:w="0" w:type="dxa"/>
          <w:bottom w:w="0" w:type="dxa"/>
          <w:right w:w="0" w:type="dxa"/>
        </w:tblCellMar>
      </w:tblPr>
      <w:tblGrid>
        <w:gridCol w:w="961"/>
        <w:gridCol w:w="1403"/>
        <w:gridCol w:w="3386"/>
        <w:gridCol w:w="956"/>
        <w:gridCol w:w="1490"/>
        <w:gridCol w:w="1497"/>
      </w:tblGrid>
      <w:tr>
        <w:tblPrEx>
          <w:tblCellMar>
            <w:top w:w="0" w:type="dxa"/>
            <w:left w:w="0" w:type="dxa"/>
            <w:bottom w:w="0" w:type="dxa"/>
            <w:right w:w="0" w:type="dxa"/>
          </w:tblCellMar>
        </w:tblPrEx>
        <w:trPr>
          <w:trHeight w:val="283" w:hRule="atLeast"/>
        </w:trPr>
        <w:tc>
          <w:tcPr>
            <w:tcW w:w="658" w:type="pct"/>
            <w:vMerge w:val="restart"/>
            <w:tcBorders>
              <w:top w:val="single" w:color="auto" w:sz="8" w:space="0"/>
              <w:left w:val="single" w:color="auto" w:sz="8" w:space="0"/>
              <w:bottom w:val="single" w:color="auto" w:sz="8" w:space="0"/>
              <w:right w:val="single" w:color="auto" w:sz="8" w:space="0"/>
            </w:tcBorders>
            <w:noWrap/>
            <w:tcMar>
              <w:top w:w="0" w:type="dxa"/>
              <w:left w:w="28" w:type="dxa"/>
              <w:bottom w:w="0" w:type="dxa"/>
              <w:right w:w="28" w:type="dxa"/>
            </w:tcMar>
            <w:vAlign w:val="center"/>
          </w:tcPr>
          <w:p>
            <w:pPr>
              <w:pStyle w:val="11"/>
              <w:spacing w:before="0" w:beforeAutospacing="0" w:after="0" w:afterAutospacing="0"/>
              <w:jc w:val="center"/>
            </w:pPr>
            <w:r>
              <w:rPr>
                <w:rFonts w:hint="eastAsia"/>
                <w:sz w:val="18"/>
                <w:szCs w:val="18"/>
              </w:rPr>
              <w:t>公司</w:t>
            </w:r>
          </w:p>
        </w:tc>
        <w:tc>
          <w:tcPr>
            <w:tcW w:w="4342" w:type="pct"/>
            <w:gridSpan w:val="5"/>
            <w:tcBorders>
              <w:top w:val="single" w:color="auto" w:sz="8" w:space="0"/>
              <w:left w:val="nil"/>
              <w:bottom w:val="single" w:color="auto" w:sz="8" w:space="0"/>
              <w:right w:val="single" w:color="auto" w:sz="8" w:space="0"/>
            </w:tcBorders>
            <w:noWrap/>
            <w:tcMar>
              <w:top w:w="0" w:type="dxa"/>
              <w:left w:w="28" w:type="dxa"/>
              <w:bottom w:w="0" w:type="dxa"/>
              <w:right w:w="28" w:type="dxa"/>
            </w:tcMar>
            <w:vAlign w:val="center"/>
          </w:tcPr>
          <w:p>
            <w:pPr>
              <w:pStyle w:val="11"/>
              <w:spacing w:before="0" w:beforeAutospacing="0" w:after="0" w:afterAutospacing="0"/>
              <w:jc w:val="center"/>
            </w:pPr>
            <w:r>
              <w:rPr>
                <w:rFonts w:hint="eastAsia"/>
                <w:sz w:val="18"/>
                <w:szCs w:val="18"/>
              </w:rPr>
              <w:t>关键参数</w:t>
            </w:r>
          </w:p>
        </w:tc>
      </w:tr>
      <w:tr>
        <w:tblPrEx>
          <w:tblCellMar>
            <w:top w:w="0" w:type="dxa"/>
            <w:left w:w="0" w:type="dxa"/>
            <w:bottom w:w="0" w:type="dxa"/>
            <w:right w:w="0" w:type="dxa"/>
          </w:tblCellMar>
        </w:tblPrEx>
        <w:trPr>
          <w:trHeight w:val="283" w:hRule="atLeast"/>
        </w:trPr>
        <w:tc>
          <w:tcPr>
            <w:tcW w:w="0" w:type="auto"/>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eastAsia="宋体" w:cs="宋体"/>
                <w:sz w:val="24"/>
                <w:szCs w:val="24"/>
              </w:rPr>
            </w:pPr>
          </w:p>
        </w:tc>
        <w:tc>
          <w:tcPr>
            <w:tcW w:w="886" w:type="pct"/>
            <w:tcBorders>
              <w:top w:val="nil"/>
              <w:left w:val="single" w:color="auto" w:sz="8" w:space="0"/>
              <w:bottom w:val="single" w:color="auto" w:sz="8" w:space="0"/>
              <w:right w:val="single" w:color="auto" w:sz="8" w:space="0"/>
            </w:tcBorders>
            <w:noWrap/>
            <w:tcMar>
              <w:top w:w="0" w:type="dxa"/>
              <w:left w:w="28" w:type="dxa"/>
              <w:bottom w:w="0" w:type="dxa"/>
              <w:right w:w="28" w:type="dxa"/>
            </w:tcMar>
            <w:vAlign w:val="center"/>
          </w:tcPr>
          <w:p>
            <w:pPr>
              <w:pStyle w:val="11"/>
              <w:spacing w:before="0" w:beforeAutospacing="0" w:after="0" w:afterAutospacing="0"/>
              <w:jc w:val="center"/>
            </w:pPr>
            <w:r>
              <w:rPr>
                <w:rFonts w:hint="eastAsia"/>
                <w:sz w:val="18"/>
                <w:szCs w:val="18"/>
              </w:rPr>
              <w:t>预测期</w:t>
            </w:r>
          </w:p>
        </w:tc>
        <w:tc>
          <w:tcPr>
            <w:tcW w:w="1215" w:type="pct"/>
            <w:tcBorders>
              <w:top w:val="nil"/>
              <w:left w:val="nil"/>
              <w:bottom w:val="single" w:color="auto" w:sz="8" w:space="0"/>
              <w:right w:val="single" w:color="auto" w:sz="8" w:space="0"/>
            </w:tcBorders>
            <w:noWrap/>
            <w:tcMar>
              <w:top w:w="0" w:type="dxa"/>
              <w:left w:w="28" w:type="dxa"/>
              <w:bottom w:w="0" w:type="dxa"/>
              <w:right w:w="28" w:type="dxa"/>
            </w:tcMar>
            <w:vAlign w:val="center"/>
          </w:tcPr>
          <w:p>
            <w:pPr>
              <w:pStyle w:val="11"/>
              <w:spacing w:before="0" w:beforeAutospacing="0" w:after="0" w:afterAutospacing="0"/>
              <w:jc w:val="center"/>
            </w:pPr>
            <w:r>
              <w:rPr>
                <w:rFonts w:hint="eastAsia"/>
                <w:sz w:val="18"/>
                <w:szCs w:val="18"/>
              </w:rPr>
              <w:t>预测增长率</w:t>
            </w:r>
          </w:p>
        </w:tc>
        <w:tc>
          <w:tcPr>
            <w:tcW w:w="390" w:type="pct"/>
            <w:tcBorders>
              <w:top w:val="nil"/>
              <w:left w:val="nil"/>
              <w:bottom w:val="single" w:color="auto" w:sz="8" w:space="0"/>
              <w:right w:val="single" w:color="auto" w:sz="8" w:space="0"/>
            </w:tcBorders>
            <w:noWrap/>
            <w:tcMar>
              <w:top w:w="0" w:type="dxa"/>
              <w:left w:w="28" w:type="dxa"/>
              <w:bottom w:w="0" w:type="dxa"/>
              <w:right w:w="28" w:type="dxa"/>
            </w:tcMar>
            <w:vAlign w:val="center"/>
          </w:tcPr>
          <w:p>
            <w:pPr>
              <w:pStyle w:val="11"/>
              <w:spacing w:before="0" w:beforeAutospacing="0" w:after="0" w:afterAutospacing="0"/>
              <w:jc w:val="center"/>
            </w:pPr>
            <w:r>
              <w:rPr>
                <w:rFonts w:hint="eastAsia"/>
                <w:sz w:val="18"/>
                <w:szCs w:val="18"/>
              </w:rPr>
              <w:t>稳定增长期</w:t>
            </w:r>
          </w:p>
        </w:tc>
        <w:tc>
          <w:tcPr>
            <w:tcW w:w="931" w:type="pct"/>
            <w:tcBorders>
              <w:top w:val="nil"/>
              <w:left w:val="nil"/>
              <w:bottom w:val="single" w:color="auto" w:sz="8" w:space="0"/>
              <w:right w:val="single" w:color="auto" w:sz="8" w:space="0"/>
            </w:tcBorders>
            <w:noWrap/>
            <w:tcMar>
              <w:top w:w="0" w:type="dxa"/>
              <w:left w:w="28" w:type="dxa"/>
              <w:bottom w:w="0" w:type="dxa"/>
              <w:right w:w="28" w:type="dxa"/>
            </w:tcMar>
            <w:vAlign w:val="center"/>
          </w:tcPr>
          <w:p>
            <w:pPr>
              <w:pStyle w:val="11"/>
              <w:spacing w:before="0" w:beforeAutospacing="0" w:after="0" w:afterAutospacing="0"/>
              <w:jc w:val="center"/>
            </w:pPr>
            <w:r>
              <w:rPr>
                <w:rFonts w:hint="eastAsia"/>
                <w:sz w:val="18"/>
                <w:szCs w:val="18"/>
              </w:rPr>
              <w:t>利润率</w:t>
            </w:r>
          </w:p>
        </w:tc>
        <w:tc>
          <w:tcPr>
            <w:tcW w:w="919" w:type="pct"/>
            <w:tcBorders>
              <w:top w:val="nil"/>
              <w:left w:val="nil"/>
              <w:bottom w:val="single" w:color="auto" w:sz="8" w:space="0"/>
              <w:right w:val="single" w:color="auto" w:sz="8" w:space="0"/>
            </w:tcBorders>
            <w:noWrap/>
            <w:tcMar>
              <w:top w:w="0" w:type="dxa"/>
              <w:left w:w="28" w:type="dxa"/>
              <w:bottom w:w="0" w:type="dxa"/>
              <w:right w:w="28" w:type="dxa"/>
            </w:tcMar>
            <w:vAlign w:val="center"/>
          </w:tcPr>
          <w:p>
            <w:pPr>
              <w:pStyle w:val="11"/>
              <w:spacing w:before="0" w:beforeAutospacing="0" w:after="0" w:afterAutospacing="0"/>
              <w:jc w:val="center"/>
            </w:pPr>
            <w:r>
              <w:rPr>
                <w:rFonts w:hint="eastAsia"/>
                <w:sz w:val="18"/>
                <w:szCs w:val="18"/>
              </w:rPr>
              <w:t>折现率</w:t>
            </w:r>
          </w:p>
          <w:p>
            <w:pPr>
              <w:pStyle w:val="11"/>
              <w:spacing w:before="0" w:beforeAutospacing="0" w:after="0" w:afterAutospacing="0"/>
              <w:jc w:val="center"/>
            </w:pPr>
            <w:r>
              <w:rPr>
                <w:rFonts w:hint="eastAsia"/>
                <w:sz w:val="18"/>
                <w:szCs w:val="18"/>
              </w:rPr>
              <w:t>（权益资本成本）</w:t>
            </w:r>
          </w:p>
        </w:tc>
      </w:tr>
      <w:tr>
        <w:tblPrEx>
          <w:tblCellMar>
            <w:top w:w="0" w:type="dxa"/>
            <w:left w:w="0" w:type="dxa"/>
            <w:bottom w:w="0" w:type="dxa"/>
            <w:right w:w="0" w:type="dxa"/>
          </w:tblCellMar>
        </w:tblPrEx>
        <w:trPr>
          <w:trHeight w:val="283" w:hRule="atLeast"/>
        </w:trPr>
        <w:tc>
          <w:tcPr>
            <w:tcW w:w="658" w:type="pct"/>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11"/>
              <w:spacing w:before="0" w:beforeAutospacing="0" w:after="0" w:afterAutospacing="0"/>
              <w:jc w:val="both"/>
            </w:pPr>
            <w:r>
              <w:rPr>
                <w:rFonts w:hint="eastAsia"/>
                <w:sz w:val="18"/>
                <w:szCs w:val="18"/>
              </w:rPr>
              <w:t>温岭甬岭水表有限公司</w:t>
            </w:r>
          </w:p>
        </w:tc>
        <w:tc>
          <w:tcPr>
            <w:tcW w:w="886" w:type="pct"/>
            <w:tcBorders>
              <w:top w:val="nil"/>
              <w:left w:val="nil"/>
              <w:bottom w:val="single" w:color="auto" w:sz="8" w:space="0"/>
              <w:right w:val="single" w:color="auto" w:sz="8" w:space="0"/>
            </w:tcBorders>
            <w:tcMar>
              <w:top w:w="0" w:type="dxa"/>
              <w:left w:w="28" w:type="dxa"/>
              <w:bottom w:w="0" w:type="dxa"/>
              <w:right w:w="28" w:type="dxa"/>
            </w:tcMar>
            <w:vAlign w:val="center"/>
          </w:tcPr>
          <w:p>
            <w:pPr>
              <w:pStyle w:val="11"/>
              <w:spacing w:before="0" w:beforeAutospacing="0" w:after="0" w:afterAutospacing="0"/>
              <w:jc w:val="both"/>
            </w:pPr>
            <w:r>
              <w:rPr>
                <w:rFonts w:hint="eastAsia"/>
                <w:sz w:val="18"/>
                <w:szCs w:val="18"/>
              </w:rPr>
              <w:t>2023-2027年（后续为稳定期）</w:t>
            </w:r>
          </w:p>
        </w:tc>
        <w:tc>
          <w:tcPr>
            <w:tcW w:w="1215" w:type="pct"/>
            <w:tcBorders>
              <w:top w:val="nil"/>
              <w:left w:val="nil"/>
              <w:bottom w:val="single" w:color="auto" w:sz="8" w:space="0"/>
              <w:right w:val="single" w:color="auto" w:sz="8" w:space="0"/>
            </w:tcBorders>
            <w:noWrap/>
            <w:tcMar>
              <w:top w:w="0" w:type="dxa"/>
              <w:left w:w="28" w:type="dxa"/>
              <w:bottom w:w="0" w:type="dxa"/>
              <w:right w:w="28" w:type="dxa"/>
            </w:tcMar>
            <w:vAlign w:val="center"/>
          </w:tcPr>
          <w:p>
            <w:pPr>
              <w:pStyle w:val="11"/>
              <w:spacing w:before="0" w:beforeAutospacing="0" w:after="0" w:afterAutospacing="0"/>
              <w:jc w:val="both"/>
            </w:pPr>
            <w:r>
              <w:rPr>
                <w:rFonts w:hint="eastAsia"/>
                <w:sz w:val="18"/>
                <w:szCs w:val="18"/>
              </w:rPr>
              <w:t>3.02%、2.74%、2.81%、2.87%、2.93%</w:t>
            </w:r>
          </w:p>
        </w:tc>
        <w:tc>
          <w:tcPr>
            <w:tcW w:w="390" w:type="pct"/>
            <w:tcBorders>
              <w:top w:val="nil"/>
              <w:left w:val="nil"/>
              <w:bottom w:val="single" w:color="auto" w:sz="8" w:space="0"/>
              <w:right w:val="single" w:color="auto" w:sz="8" w:space="0"/>
            </w:tcBorders>
            <w:noWrap/>
            <w:tcMar>
              <w:top w:w="0" w:type="dxa"/>
              <w:left w:w="28" w:type="dxa"/>
              <w:bottom w:w="0" w:type="dxa"/>
              <w:right w:w="28" w:type="dxa"/>
            </w:tcMar>
            <w:vAlign w:val="center"/>
          </w:tcPr>
          <w:p>
            <w:pPr>
              <w:pStyle w:val="11"/>
              <w:spacing w:before="0" w:beforeAutospacing="0" w:after="0" w:afterAutospacing="0"/>
              <w:jc w:val="center"/>
            </w:pPr>
            <w:r>
              <w:rPr>
                <w:rFonts w:hint="eastAsia"/>
                <w:sz w:val="18"/>
                <w:szCs w:val="18"/>
              </w:rPr>
              <w:t>持平</w:t>
            </w:r>
          </w:p>
        </w:tc>
        <w:tc>
          <w:tcPr>
            <w:tcW w:w="931" w:type="pct"/>
            <w:tcBorders>
              <w:top w:val="nil"/>
              <w:left w:val="nil"/>
              <w:bottom w:val="single" w:color="auto" w:sz="8" w:space="0"/>
              <w:right w:val="single" w:color="auto" w:sz="8" w:space="0"/>
            </w:tcBorders>
            <w:tcMar>
              <w:top w:w="0" w:type="dxa"/>
              <w:left w:w="28" w:type="dxa"/>
              <w:bottom w:w="0" w:type="dxa"/>
              <w:right w:w="28" w:type="dxa"/>
            </w:tcMar>
            <w:vAlign w:val="center"/>
          </w:tcPr>
          <w:p>
            <w:pPr>
              <w:pStyle w:val="11"/>
              <w:spacing w:before="0" w:beforeAutospacing="0" w:after="0" w:afterAutospacing="0"/>
              <w:jc w:val="both"/>
            </w:pPr>
            <w:r>
              <w:rPr>
                <w:rFonts w:hint="eastAsia"/>
                <w:sz w:val="18"/>
                <w:szCs w:val="18"/>
              </w:rPr>
              <w:t>根据预测的收入、成本、费用等计算</w:t>
            </w:r>
          </w:p>
        </w:tc>
        <w:tc>
          <w:tcPr>
            <w:tcW w:w="919" w:type="pct"/>
            <w:tcBorders>
              <w:top w:val="nil"/>
              <w:left w:val="nil"/>
              <w:bottom w:val="single" w:color="auto" w:sz="8" w:space="0"/>
              <w:right w:val="single" w:color="auto" w:sz="8" w:space="0"/>
            </w:tcBorders>
            <w:noWrap/>
            <w:tcMar>
              <w:top w:w="0" w:type="dxa"/>
              <w:left w:w="28" w:type="dxa"/>
              <w:bottom w:w="0" w:type="dxa"/>
              <w:right w:w="28" w:type="dxa"/>
            </w:tcMar>
            <w:vAlign w:val="center"/>
          </w:tcPr>
          <w:p>
            <w:pPr>
              <w:pStyle w:val="11"/>
              <w:spacing w:before="0" w:beforeAutospacing="0" w:after="0" w:afterAutospacing="0"/>
              <w:jc w:val="right"/>
            </w:pPr>
            <w:r>
              <w:rPr>
                <w:rFonts w:hint="eastAsia"/>
                <w:sz w:val="18"/>
                <w:szCs w:val="18"/>
              </w:rPr>
              <w:t>13.14%</w:t>
            </w:r>
          </w:p>
        </w:tc>
      </w:tr>
      <w:tr>
        <w:tblPrEx>
          <w:tblCellMar>
            <w:top w:w="0" w:type="dxa"/>
            <w:left w:w="0" w:type="dxa"/>
            <w:bottom w:w="0" w:type="dxa"/>
            <w:right w:w="0" w:type="dxa"/>
          </w:tblCellMar>
        </w:tblPrEx>
        <w:trPr>
          <w:trHeight w:val="283" w:hRule="atLeast"/>
        </w:trPr>
        <w:tc>
          <w:tcPr>
            <w:tcW w:w="658" w:type="pct"/>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11"/>
              <w:spacing w:before="0" w:beforeAutospacing="0" w:after="0" w:afterAutospacing="0"/>
              <w:jc w:val="both"/>
            </w:pPr>
            <w:r>
              <w:rPr>
                <w:rFonts w:hint="eastAsia"/>
                <w:sz w:val="18"/>
                <w:szCs w:val="18"/>
              </w:rPr>
              <w:t>杭州三川国德物联网科技有限公司</w:t>
            </w:r>
          </w:p>
        </w:tc>
        <w:tc>
          <w:tcPr>
            <w:tcW w:w="886" w:type="pct"/>
            <w:tcBorders>
              <w:top w:val="nil"/>
              <w:left w:val="nil"/>
              <w:bottom w:val="single" w:color="auto" w:sz="8" w:space="0"/>
              <w:right w:val="single" w:color="auto" w:sz="8" w:space="0"/>
            </w:tcBorders>
            <w:tcMar>
              <w:top w:w="0" w:type="dxa"/>
              <w:left w:w="28" w:type="dxa"/>
              <w:bottom w:w="0" w:type="dxa"/>
              <w:right w:w="28" w:type="dxa"/>
            </w:tcMar>
            <w:vAlign w:val="center"/>
          </w:tcPr>
          <w:p>
            <w:pPr>
              <w:pStyle w:val="11"/>
              <w:spacing w:before="0" w:beforeAutospacing="0" w:after="0" w:afterAutospacing="0"/>
              <w:jc w:val="both"/>
            </w:pPr>
            <w:r>
              <w:rPr>
                <w:rFonts w:hint="eastAsia"/>
                <w:sz w:val="18"/>
                <w:szCs w:val="18"/>
              </w:rPr>
              <w:t>2023-2027年（后续为稳定期）</w:t>
            </w:r>
          </w:p>
        </w:tc>
        <w:tc>
          <w:tcPr>
            <w:tcW w:w="1215" w:type="pct"/>
            <w:tcBorders>
              <w:top w:val="nil"/>
              <w:left w:val="nil"/>
              <w:bottom w:val="single" w:color="auto" w:sz="8" w:space="0"/>
              <w:right w:val="single" w:color="auto" w:sz="8" w:space="0"/>
            </w:tcBorders>
            <w:noWrap/>
            <w:tcMar>
              <w:top w:w="0" w:type="dxa"/>
              <w:left w:w="28" w:type="dxa"/>
              <w:bottom w:w="0" w:type="dxa"/>
              <w:right w:w="28" w:type="dxa"/>
            </w:tcMar>
            <w:vAlign w:val="center"/>
          </w:tcPr>
          <w:p>
            <w:pPr>
              <w:pStyle w:val="11"/>
              <w:spacing w:before="0" w:beforeAutospacing="0" w:after="0" w:afterAutospacing="0"/>
              <w:jc w:val="right"/>
            </w:pPr>
            <w:r>
              <w:rPr>
                <w:rFonts w:hint="eastAsia"/>
                <w:sz w:val="18"/>
                <w:szCs w:val="18"/>
              </w:rPr>
              <w:t>5.00%、5.00%、5.00%、5.00%、5.00%</w:t>
            </w:r>
          </w:p>
        </w:tc>
        <w:tc>
          <w:tcPr>
            <w:tcW w:w="390" w:type="pct"/>
            <w:tcBorders>
              <w:top w:val="nil"/>
              <w:left w:val="nil"/>
              <w:bottom w:val="single" w:color="auto" w:sz="8" w:space="0"/>
              <w:right w:val="single" w:color="auto" w:sz="8" w:space="0"/>
            </w:tcBorders>
            <w:noWrap/>
            <w:tcMar>
              <w:top w:w="0" w:type="dxa"/>
              <w:left w:w="28" w:type="dxa"/>
              <w:bottom w:w="0" w:type="dxa"/>
              <w:right w:w="28" w:type="dxa"/>
            </w:tcMar>
            <w:vAlign w:val="center"/>
          </w:tcPr>
          <w:p>
            <w:pPr>
              <w:pStyle w:val="11"/>
              <w:spacing w:before="0" w:beforeAutospacing="0" w:after="0" w:afterAutospacing="0"/>
              <w:jc w:val="center"/>
            </w:pPr>
            <w:r>
              <w:rPr>
                <w:rFonts w:hint="eastAsia"/>
                <w:sz w:val="18"/>
                <w:szCs w:val="18"/>
              </w:rPr>
              <w:t>持平</w:t>
            </w:r>
          </w:p>
        </w:tc>
        <w:tc>
          <w:tcPr>
            <w:tcW w:w="931" w:type="pct"/>
            <w:tcBorders>
              <w:top w:val="nil"/>
              <w:left w:val="nil"/>
              <w:bottom w:val="single" w:color="auto" w:sz="8" w:space="0"/>
              <w:right w:val="single" w:color="auto" w:sz="8" w:space="0"/>
            </w:tcBorders>
            <w:tcMar>
              <w:top w:w="0" w:type="dxa"/>
              <w:left w:w="28" w:type="dxa"/>
              <w:bottom w:w="0" w:type="dxa"/>
              <w:right w:w="28" w:type="dxa"/>
            </w:tcMar>
            <w:vAlign w:val="center"/>
          </w:tcPr>
          <w:p>
            <w:pPr>
              <w:pStyle w:val="11"/>
              <w:spacing w:before="0" w:beforeAutospacing="0" w:after="0" w:afterAutospacing="0"/>
              <w:jc w:val="both"/>
            </w:pPr>
            <w:r>
              <w:rPr>
                <w:rFonts w:hint="eastAsia"/>
                <w:sz w:val="18"/>
                <w:szCs w:val="18"/>
              </w:rPr>
              <w:t>根据预测的收入、成本、费用等计算</w:t>
            </w:r>
          </w:p>
        </w:tc>
        <w:tc>
          <w:tcPr>
            <w:tcW w:w="919" w:type="pct"/>
            <w:tcBorders>
              <w:top w:val="nil"/>
              <w:left w:val="nil"/>
              <w:bottom w:val="single" w:color="auto" w:sz="8" w:space="0"/>
              <w:right w:val="single" w:color="auto" w:sz="8" w:space="0"/>
            </w:tcBorders>
            <w:noWrap/>
            <w:tcMar>
              <w:top w:w="0" w:type="dxa"/>
              <w:left w:w="28" w:type="dxa"/>
              <w:bottom w:w="0" w:type="dxa"/>
              <w:right w:w="28" w:type="dxa"/>
            </w:tcMar>
            <w:vAlign w:val="center"/>
          </w:tcPr>
          <w:p>
            <w:pPr>
              <w:pStyle w:val="11"/>
              <w:spacing w:before="0" w:beforeAutospacing="0" w:after="0" w:afterAutospacing="0"/>
              <w:jc w:val="right"/>
            </w:pPr>
            <w:r>
              <w:rPr>
                <w:rFonts w:hint="eastAsia"/>
                <w:sz w:val="18"/>
                <w:szCs w:val="18"/>
              </w:rPr>
              <w:t>11.56%</w:t>
            </w:r>
          </w:p>
        </w:tc>
      </w:tr>
      <w:tr>
        <w:tblPrEx>
          <w:tblCellMar>
            <w:top w:w="0" w:type="dxa"/>
            <w:left w:w="0" w:type="dxa"/>
            <w:bottom w:w="0" w:type="dxa"/>
            <w:right w:w="0" w:type="dxa"/>
          </w:tblCellMar>
        </w:tblPrEx>
        <w:trPr>
          <w:trHeight w:val="283" w:hRule="atLeast"/>
        </w:trPr>
        <w:tc>
          <w:tcPr>
            <w:tcW w:w="658" w:type="pct"/>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11"/>
              <w:spacing w:before="0" w:beforeAutospacing="0" w:after="0" w:afterAutospacing="0"/>
              <w:jc w:val="both"/>
            </w:pPr>
            <w:r>
              <w:rPr>
                <w:rFonts w:hint="eastAsia"/>
                <w:sz w:val="18"/>
                <w:szCs w:val="18"/>
              </w:rPr>
              <w:t>赣州天和永磁材料有限公司</w:t>
            </w:r>
          </w:p>
        </w:tc>
        <w:tc>
          <w:tcPr>
            <w:tcW w:w="886" w:type="pct"/>
            <w:tcBorders>
              <w:top w:val="nil"/>
              <w:left w:val="nil"/>
              <w:bottom w:val="single" w:color="auto" w:sz="8" w:space="0"/>
              <w:right w:val="single" w:color="auto" w:sz="8" w:space="0"/>
            </w:tcBorders>
            <w:tcMar>
              <w:top w:w="0" w:type="dxa"/>
              <w:left w:w="28" w:type="dxa"/>
              <w:bottom w:w="0" w:type="dxa"/>
              <w:right w:w="28" w:type="dxa"/>
            </w:tcMar>
            <w:vAlign w:val="center"/>
          </w:tcPr>
          <w:p>
            <w:pPr>
              <w:pStyle w:val="11"/>
              <w:spacing w:before="0" w:beforeAutospacing="0" w:after="0" w:afterAutospacing="0"/>
              <w:jc w:val="both"/>
            </w:pPr>
            <w:r>
              <w:rPr>
                <w:rFonts w:hint="eastAsia"/>
                <w:sz w:val="18"/>
                <w:szCs w:val="18"/>
              </w:rPr>
              <w:t>2023-2027年（后续为稳定期）</w:t>
            </w:r>
          </w:p>
        </w:tc>
        <w:tc>
          <w:tcPr>
            <w:tcW w:w="1215" w:type="pct"/>
            <w:tcBorders>
              <w:top w:val="nil"/>
              <w:left w:val="nil"/>
              <w:bottom w:val="single" w:color="auto" w:sz="8" w:space="0"/>
              <w:right w:val="single" w:color="auto" w:sz="8" w:space="0"/>
            </w:tcBorders>
            <w:noWrap/>
            <w:tcMar>
              <w:top w:w="0" w:type="dxa"/>
              <w:left w:w="28" w:type="dxa"/>
              <w:bottom w:w="0" w:type="dxa"/>
              <w:right w:w="28" w:type="dxa"/>
            </w:tcMar>
            <w:vAlign w:val="center"/>
          </w:tcPr>
          <w:p>
            <w:pPr>
              <w:pStyle w:val="11"/>
              <w:spacing w:before="0" w:beforeAutospacing="0" w:after="0" w:afterAutospacing="0"/>
              <w:jc w:val="right"/>
            </w:pPr>
            <w:r>
              <w:rPr>
                <w:sz w:val="18"/>
                <w:szCs w:val="18"/>
              </w:rPr>
              <w:t>44.86%、26.34%、19.80%、11.33%、7.33%</w:t>
            </w:r>
          </w:p>
        </w:tc>
        <w:tc>
          <w:tcPr>
            <w:tcW w:w="390" w:type="pct"/>
            <w:tcBorders>
              <w:top w:val="nil"/>
              <w:left w:val="nil"/>
              <w:bottom w:val="single" w:color="auto" w:sz="8" w:space="0"/>
              <w:right w:val="single" w:color="auto" w:sz="8" w:space="0"/>
            </w:tcBorders>
            <w:noWrap/>
            <w:tcMar>
              <w:top w:w="0" w:type="dxa"/>
              <w:left w:w="28" w:type="dxa"/>
              <w:bottom w:w="0" w:type="dxa"/>
              <w:right w:w="28" w:type="dxa"/>
            </w:tcMar>
            <w:vAlign w:val="center"/>
          </w:tcPr>
          <w:p>
            <w:pPr>
              <w:pStyle w:val="11"/>
              <w:spacing w:before="0" w:beforeAutospacing="0" w:after="0" w:afterAutospacing="0"/>
              <w:jc w:val="center"/>
            </w:pPr>
            <w:r>
              <w:rPr>
                <w:rFonts w:hint="eastAsia"/>
                <w:sz w:val="18"/>
                <w:szCs w:val="18"/>
              </w:rPr>
              <w:t>持平</w:t>
            </w:r>
          </w:p>
        </w:tc>
        <w:tc>
          <w:tcPr>
            <w:tcW w:w="931" w:type="pct"/>
            <w:tcBorders>
              <w:top w:val="nil"/>
              <w:left w:val="nil"/>
              <w:bottom w:val="single" w:color="auto" w:sz="8" w:space="0"/>
              <w:right w:val="single" w:color="auto" w:sz="8" w:space="0"/>
            </w:tcBorders>
            <w:tcMar>
              <w:top w:w="0" w:type="dxa"/>
              <w:left w:w="28" w:type="dxa"/>
              <w:bottom w:w="0" w:type="dxa"/>
              <w:right w:w="28" w:type="dxa"/>
            </w:tcMar>
            <w:vAlign w:val="center"/>
          </w:tcPr>
          <w:p>
            <w:pPr>
              <w:pStyle w:val="11"/>
              <w:spacing w:before="0" w:beforeAutospacing="0" w:after="0" w:afterAutospacing="0"/>
              <w:jc w:val="both"/>
            </w:pPr>
            <w:r>
              <w:rPr>
                <w:rFonts w:hint="eastAsia"/>
                <w:sz w:val="18"/>
                <w:szCs w:val="18"/>
              </w:rPr>
              <w:t>根据预测的收入、成本、费用等计算</w:t>
            </w:r>
          </w:p>
        </w:tc>
        <w:tc>
          <w:tcPr>
            <w:tcW w:w="919" w:type="pct"/>
            <w:tcBorders>
              <w:top w:val="nil"/>
              <w:left w:val="nil"/>
              <w:bottom w:val="single" w:color="auto" w:sz="8" w:space="0"/>
              <w:right w:val="single" w:color="auto" w:sz="8" w:space="0"/>
            </w:tcBorders>
            <w:noWrap/>
            <w:tcMar>
              <w:top w:w="0" w:type="dxa"/>
              <w:left w:w="28" w:type="dxa"/>
              <w:bottom w:w="0" w:type="dxa"/>
              <w:right w:w="28" w:type="dxa"/>
            </w:tcMar>
            <w:vAlign w:val="center"/>
          </w:tcPr>
          <w:p>
            <w:pPr>
              <w:pStyle w:val="11"/>
              <w:spacing w:before="0" w:beforeAutospacing="0" w:after="0" w:afterAutospacing="0"/>
              <w:jc w:val="right"/>
            </w:pPr>
            <w:r>
              <w:rPr>
                <w:rFonts w:hint="eastAsia"/>
                <w:sz w:val="18"/>
                <w:szCs w:val="18"/>
              </w:rPr>
              <w:t>1</w:t>
            </w:r>
            <w:r>
              <w:rPr>
                <w:sz w:val="18"/>
                <w:szCs w:val="18"/>
              </w:rPr>
              <w:t>1</w:t>
            </w:r>
            <w:r>
              <w:rPr>
                <w:rFonts w:hint="eastAsia"/>
                <w:sz w:val="18"/>
                <w:szCs w:val="18"/>
              </w:rPr>
              <w:t>.</w:t>
            </w:r>
            <w:r>
              <w:rPr>
                <w:sz w:val="18"/>
                <w:szCs w:val="18"/>
              </w:rPr>
              <w:t>94</w:t>
            </w:r>
            <w:r>
              <w:rPr>
                <w:rFonts w:hint="eastAsia"/>
                <w:sz w:val="18"/>
                <w:szCs w:val="18"/>
              </w:rPr>
              <w:t>%</w:t>
            </w:r>
          </w:p>
        </w:tc>
      </w:tr>
    </w:tbl>
    <w:p>
      <w:pPr>
        <w:pStyle w:val="11"/>
        <w:spacing w:before="40" w:beforeAutospacing="0" w:after="40" w:afterAutospacing="0"/>
        <w:ind w:firstLine="357"/>
        <w:rPr>
          <w:color w:val="000000"/>
          <w:sz w:val="18"/>
          <w:szCs w:val="18"/>
        </w:rPr>
      </w:pPr>
      <w:r>
        <w:rPr>
          <w:rFonts w:hint="eastAsia"/>
          <w:color w:val="000000"/>
          <w:sz w:val="18"/>
          <w:szCs w:val="18"/>
        </w:rPr>
        <w:t>说明：对资产组进行现金流量预测时采用的关键参数包括预计营业收入、预计毛利率、预计增长率以及相关费用率等，公司基于以前年度的经营业绩、增长率、行业发展趋势以及管理层对市场发展的预期、宏观经济形势等编制未来五年的财务预算及现金流量预测，五年以后的永续现金流按照预测期最后一年的水平确定。温岭甬岭水表有限公司、杭州三川国德物联网科技有限公司主要从事水表的生产与销售、水务系统的研发与销售等业务，考虑相关资产组的特定风险后，现金流量预测所用的税前折现率分别为13.14%、11.56%。赣州天和永磁材料有限公司主要从事稀土废料回收与销售等业务，考虑相关资产组的特定风险后，现金流量预测所用的税前折现率为1</w:t>
      </w:r>
      <w:r>
        <w:rPr>
          <w:color w:val="000000"/>
          <w:sz w:val="18"/>
          <w:szCs w:val="18"/>
        </w:rPr>
        <w:t>1</w:t>
      </w:r>
      <w:r>
        <w:rPr>
          <w:rFonts w:hint="eastAsia"/>
          <w:color w:val="000000"/>
          <w:sz w:val="18"/>
          <w:szCs w:val="18"/>
        </w:rPr>
        <w:t>.</w:t>
      </w:r>
      <w:r>
        <w:rPr>
          <w:color w:val="000000"/>
          <w:sz w:val="18"/>
          <w:szCs w:val="18"/>
        </w:rPr>
        <w:t>94</w:t>
      </w:r>
      <w:r>
        <w:rPr>
          <w:rFonts w:hint="eastAsia"/>
          <w:color w:val="000000"/>
          <w:sz w:val="18"/>
          <w:szCs w:val="18"/>
        </w:rPr>
        <w:t>%。经测试，温岭甬岭水表有限公司、杭州三川国德物联网科技有限公司、赣州天和永磁材料有限公司的资产组可回收价值均大于账面价值，未发生减值。</w:t>
      </w:r>
    </w:p>
    <w:p>
      <w:pPr>
        <w:spacing w:before="100" w:after="100" w:line="240" w:lineRule="exact"/>
        <w:rPr>
          <w:rFonts w:ascii="宋体" w:hAnsi="宋体" w:eastAsia="宋体" w:cs="宋体"/>
          <w:sz w:val="18"/>
          <w:szCs w:val="18"/>
        </w:rPr>
      </w:pPr>
      <w:r>
        <w:rPr>
          <w:rFonts w:ascii="宋体" w:hAnsi="宋体" w:eastAsia="宋体" w:cs="宋体"/>
          <w:sz w:val="18"/>
          <w:szCs w:val="18"/>
        </w:rPr>
        <w:t>商誉减值测试的影响</w:t>
      </w:r>
    </w:p>
    <w:p>
      <w:pPr>
        <w:pStyle w:val="11"/>
        <w:spacing w:before="40" w:beforeAutospacing="0" w:after="40" w:afterAutospacing="0"/>
        <w:ind w:firstLine="357"/>
        <w:rPr>
          <w:color w:val="000000"/>
          <w:sz w:val="18"/>
          <w:szCs w:val="18"/>
        </w:rPr>
      </w:pPr>
      <w:r>
        <w:rPr>
          <w:rFonts w:hint="eastAsia"/>
          <w:color w:val="000000"/>
          <w:sz w:val="18"/>
          <w:szCs w:val="18"/>
        </w:rPr>
        <w:t>报告期内公司并购了赣州天和永磁材料有限公司，产生商誉 167,309,250.12元， 根据《三川智慧科技股份有限公司与陈久昌、周钢华、舒金澄关于赣州天和永磁材料有限公司之股权转让协议》（以下简称“转让协议”），陈久昌、周钢华、舒金澄承诺赣州天和（含合并报表的子公司）2022年、2023年和2024年实现经审计后的实际净利润分别不低于人民币3,600万元、4,100万元和4,600万元，三年累计实际净利润不低于12,300万元。</w:t>
      </w:r>
    </w:p>
    <w:p>
      <w:pPr>
        <w:pStyle w:val="11"/>
        <w:spacing w:before="40" w:beforeAutospacing="0" w:after="40" w:afterAutospacing="0"/>
        <w:ind w:firstLine="357"/>
        <w:rPr>
          <w:color w:val="000000"/>
          <w:sz w:val="18"/>
          <w:szCs w:val="18"/>
        </w:rPr>
      </w:pPr>
      <w:r>
        <w:rPr>
          <w:rFonts w:hint="eastAsia"/>
          <w:color w:val="000000"/>
          <w:sz w:val="18"/>
          <w:szCs w:val="18"/>
        </w:rPr>
        <w:t>经北京兴华会议师事务所审核并出具了《关于赣州天和永磁材料有限公司业绩承诺完成情况的专项审核报告》，2022年度天和永磁完成净利润34,466,252.83元，按转让协议约定的核算方式核定的实际净利润为34,232,272.85元，当年业绩承诺完成率95.09%。公司依据2022年度业绩承诺的完成情况在进行商誉减值测试时予以充分考虑并结合未来的经营计划对预测期进行了审慎测试。</w:t>
      </w:r>
    </w:p>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70" w:name="_Toc989152"/>
      <w:r>
        <w:rPr>
          <w:rFonts w:ascii="宋体" w:hAnsi="宋体" w:cs="宋体"/>
          <w:b/>
          <w:bCs/>
        </w:rPr>
        <w:t>16、长期待摊费用</w:t>
      </w:r>
      <w:bookmarkEnd w:id="270"/>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7"/>
        <w:gridCol w:w="1607"/>
        <w:gridCol w:w="160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本期摊销金额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其他减少金额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装修费等</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900,692.89</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1,034,617.97</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600,161.71</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1,335,149.15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900,692.89</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1,034,617.97</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600,161.71</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1,335,149.15</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71" w:name="_Toc989153"/>
      <w:r>
        <w:rPr>
          <w:rFonts w:ascii="宋体" w:hAnsi="宋体" w:cs="宋体"/>
          <w:b/>
          <w:bCs/>
        </w:rPr>
        <w:t>17、递延所得税资产/递延所得税负债</w:t>
      </w:r>
      <w:bookmarkEnd w:id="271"/>
    </w:p>
    <w:p>
      <w:pPr>
        <w:keepNext/>
        <w:keepLines/>
        <w:spacing w:before="300" w:after="300" w:line="280" w:lineRule="exact"/>
        <w:outlineLvl w:val="3"/>
        <w:rPr>
          <w:rFonts w:ascii="宋体" w:hAnsi="宋体" w:eastAsia="宋体" w:cs="宋体"/>
          <w:b/>
          <w:bCs/>
          <w:szCs w:val="21"/>
        </w:rPr>
      </w:pPr>
      <w:bookmarkStart w:id="272" w:name="_Toc989154"/>
      <w:r>
        <w:rPr>
          <w:rFonts w:ascii="宋体" w:hAnsi="宋体" w:eastAsia="宋体" w:cs="宋体"/>
          <w:b/>
          <w:bCs/>
          <w:szCs w:val="21"/>
        </w:rPr>
        <w:t>（1） 未经抵销的递延所得税资产</w:t>
      </w:r>
      <w:bookmarkEnd w:id="272"/>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可抵扣暂时性差异</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递延所得税资产</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可抵扣暂时性差异</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递延所得税资产</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资产减值准备</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159,395,154.41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23,970,539.01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134,098,648.21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20,071,262.55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内部交易未实现利润</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3,815,722.07</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572,358.31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3,872,059.24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580,808.89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可抵扣亏损</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4,780,743.56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867,595.07</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15,388,326.60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1,763,436.60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应付职工薪酬</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2,894,647.95</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434,197.19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2,259,748.78</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338,962.32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170,886,267.99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25,844,689.58</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155,618,782.83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22,754,470.36</w:t>
            </w:r>
          </w:p>
        </w:tc>
      </w:tr>
    </w:tbl>
    <w:p>
      <w:pPr>
        <w:keepNext/>
        <w:keepLines/>
        <w:spacing w:before="300" w:after="300" w:line="280" w:lineRule="exact"/>
        <w:outlineLvl w:val="3"/>
        <w:rPr>
          <w:rFonts w:ascii="宋体" w:hAnsi="宋体" w:eastAsia="宋体" w:cs="宋体"/>
          <w:b/>
          <w:bCs/>
          <w:szCs w:val="21"/>
        </w:rPr>
      </w:pPr>
      <w:bookmarkStart w:id="273" w:name="_Toc989155"/>
      <w:r>
        <w:rPr>
          <w:rFonts w:ascii="宋体" w:hAnsi="宋体" w:eastAsia="宋体" w:cs="宋体"/>
          <w:b/>
          <w:bCs/>
          <w:szCs w:val="21"/>
        </w:rPr>
        <w:t>（2） 未经抵销的递延所得税负债</w:t>
      </w:r>
      <w:bookmarkEnd w:id="273"/>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应纳税暂时性差异</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递延所得税负债</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应纳税暂时性差异</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递延所得税负债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其他非流动金融资产公允价值变动</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16,019,613.00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2,402,941.94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14,107,404.30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2,116,110.64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资产评估增值</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12,222,974.14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1,833,446.12</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固定资产加计扣除</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3,030,973.44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454,646.02</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31,273,560.58</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4,691,034.08</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14,107,404.30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2,116,110.64</w:t>
            </w:r>
          </w:p>
        </w:tc>
      </w:tr>
    </w:tbl>
    <w:p>
      <w:pPr>
        <w:keepNext/>
        <w:keepLines/>
        <w:spacing w:before="300" w:after="300" w:line="280" w:lineRule="exact"/>
        <w:outlineLvl w:val="3"/>
        <w:rPr>
          <w:rFonts w:ascii="宋体" w:hAnsi="宋体" w:eastAsia="宋体" w:cs="宋体"/>
          <w:b/>
          <w:bCs/>
          <w:szCs w:val="21"/>
        </w:rPr>
      </w:pPr>
      <w:bookmarkStart w:id="274" w:name="_Toc989156"/>
      <w:r>
        <w:rPr>
          <w:rFonts w:ascii="宋体" w:hAnsi="宋体" w:eastAsia="宋体" w:cs="宋体"/>
          <w:b/>
          <w:bCs/>
          <w:szCs w:val="21"/>
        </w:rPr>
        <w:t>（3） 未确认递延所得税资产明细</w:t>
      </w:r>
      <w:bookmarkEnd w:id="274"/>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可抵扣暂时性差异</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2,603,355.32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225,644.29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可抵扣亏损</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26,023,631.50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16,360,095.37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未实现内部交易</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789,655.30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28,626,986.82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17,375,394.96</w:t>
            </w:r>
          </w:p>
        </w:tc>
      </w:tr>
    </w:tbl>
    <w:p>
      <w:pPr>
        <w:keepNext/>
        <w:keepLines/>
        <w:spacing w:before="300" w:after="300" w:line="280" w:lineRule="exact"/>
        <w:outlineLvl w:val="3"/>
        <w:rPr>
          <w:rFonts w:ascii="宋体" w:hAnsi="宋体" w:eastAsia="宋体" w:cs="宋体"/>
          <w:b/>
          <w:bCs/>
          <w:szCs w:val="21"/>
        </w:rPr>
      </w:pPr>
      <w:bookmarkStart w:id="275" w:name="_Toc989157"/>
      <w:r>
        <w:rPr>
          <w:rFonts w:ascii="宋体" w:hAnsi="宋体" w:eastAsia="宋体" w:cs="宋体"/>
          <w:b/>
          <w:bCs/>
          <w:szCs w:val="21"/>
        </w:rPr>
        <w:t>（4） 未确认递延所得税资产的可抵扣亏损将于以下年度到期</w:t>
      </w:r>
      <w:bookmarkEnd w:id="275"/>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年份</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期末金额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期初金额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2022年度</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9,232,293.33</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2023年度</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963,270.98</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4,725,214.09</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2024年度</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66,373.79</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2025年度</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1,009,362.07</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851,780.06</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2026年度</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1,759,169.34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1,484,434.10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2027年度</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4,184,293.79</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2028年度</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5,936,673.27</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2029年度</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1,088,157.68</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2030年度</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2,460,116.11</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2031年度</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2032年度</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8,622,588.26</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26,023,631.50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16,360,095.37</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76" w:name="_Toc989158"/>
      <w:r>
        <w:rPr>
          <w:rFonts w:ascii="宋体" w:hAnsi="宋体" w:cs="宋体"/>
          <w:b/>
          <w:bCs/>
        </w:rPr>
        <w:t>18、短期借款</w:t>
      </w:r>
      <w:bookmarkEnd w:id="276"/>
    </w:p>
    <w:p>
      <w:pPr>
        <w:keepNext/>
        <w:keepLines/>
        <w:spacing w:before="300" w:after="300" w:line="280" w:lineRule="exact"/>
        <w:outlineLvl w:val="3"/>
        <w:rPr>
          <w:rFonts w:ascii="宋体" w:hAnsi="宋体" w:eastAsia="宋体" w:cs="宋体"/>
          <w:b/>
          <w:bCs/>
          <w:szCs w:val="21"/>
        </w:rPr>
      </w:pPr>
      <w:bookmarkStart w:id="277" w:name="_Toc989159"/>
      <w:r>
        <w:rPr>
          <w:rFonts w:ascii="宋体" w:hAnsi="宋体" w:eastAsia="宋体" w:cs="宋体"/>
          <w:b/>
          <w:bCs/>
          <w:szCs w:val="21"/>
        </w:rPr>
        <w:t>（1） 短期借款分类</w:t>
      </w:r>
      <w:bookmarkEnd w:id="277"/>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抵押借款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保证借款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30,000,000.00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应付利息</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23,069.45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38,023,069.45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spacing w:before="100" w:after="100" w:line="240" w:lineRule="exact"/>
        <w:rPr>
          <w:rFonts w:ascii="宋体" w:hAnsi="宋体" w:eastAsia="宋体" w:cs="宋体"/>
          <w:sz w:val="18"/>
          <w:szCs w:val="18"/>
        </w:rPr>
      </w:pPr>
      <w:r>
        <w:rPr>
          <w:rFonts w:ascii="宋体" w:hAnsi="宋体" w:eastAsia="宋体" w:cs="宋体"/>
          <w:sz w:val="18"/>
          <w:szCs w:val="18"/>
        </w:rPr>
        <w:t>短期借款分类的说明：</w:t>
      </w:r>
    </w:p>
    <w:p>
      <w:pPr>
        <w:pStyle w:val="11"/>
        <w:spacing w:before="40" w:beforeAutospacing="0" w:after="40" w:afterAutospacing="0"/>
        <w:ind w:firstLine="360" w:firstLineChars="200"/>
        <w:rPr>
          <w:rFonts w:cs="Times New Roman"/>
          <w:sz w:val="18"/>
          <w:szCs w:val="18"/>
        </w:rPr>
      </w:pPr>
      <w:r>
        <w:rPr>
          <w:rFonts w:cs="Times New Roman"/>
          <w:sz w:val="18"/>
          <w:szCs w:val="18"/>
        </w:rPr>
        <w:t>本期公司子公司赣州天和永磁材料有限公司取得招商银行赣州分行800万元抵押借款，以赣州天和永磁材料有限公司的房产及土地使用权提供抵押担保。</w:t>
      </w:r>
    </w:p>
    <w:p>
      <w:pPr>
        <w:pStyle w:val="11"/>
        <w:spacing w:before="40" w:beforeAutospacing="0" w:after="40" w:afterAutospacing="0"/>
        <w:ind w:firstLine="360" w:firstLineChars="200"/>
        <w:rPr>
          <w:rFonts w:cs="Times New Roman"/>
          <w:sz w:val="18"/>
          <w:szCs w:val="18"/>
        </w:rPr>
      </w:pPr>
      <w:r>
        <w:rPr>
          <w:rFonts w:hint="eastAsia" w:cs="Times New Roman"/>
          <w:sz w:val="18"/>
          <w:szCs w:val="18"/>
        </w:rPr>
        <w:t>本期公司子公司赣州天和永磁材料有限公司取得九江银行股份有限公司赣州经开区支行2,000万元保证借款，由本公司为赣州天和永磁材料有限公司提供保证担保，由周钢华、陈久昌、舒金澄提供反担保；本期公司子公司赣州天和永磁材料有限公司取得交通银行赣州分行营业部1,000万元保证借款，由周钢华、陈久昌、刘青、姚青霞提供保证担保。</w:t>
      </w:r>
    </w:p>
    <w:p>
      <w:pPr>
        <w:pStyle w:val="4"/>
        <w:spacing w:line="280" w:lineRule="exact"/>
        <w:jc w:val="left"/>
        <w:rPr>
          <w:rFonts w:ascii="宋体" w:hAnsi="宋体" w:cs="宋体"/>
          <w:b/>
          <w:bCs/>
        </w:rPr>
      </w:pPr>
      <w:bookmarkStart w:id="278" w:name="_Toc989160"/>
      <w:r>
        <w:rPr>
          <w:rFonts w:ascii="宋体" w:hAnsi="宋体" w:cs="宋体"/>
          <w:b/>
          <w:bCs/>
        </w:rPr>
        <w:t>19、应付票据</w:t>
      </w:r>
      <w:bookmarkEnd w:id="278"/>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种类</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银行承兑汇票</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spacing w:line="240" w:lineRule="exact"/>
        <w:rPr>
          <w:rFonts w:ascii="宋体" w:hAnsi="宋体" w:eastAsia="宋体" w:cs="宋体"/>
          <w:sz w:val="18"/>
          <w:szCs w:val="18"/>
        </w:rPr>
      </w:pPr>
      <w:r>
        <w:rPr>
          <w:rFonts w:ascii="宋体" w:hAnsi="宋体" w:eastAsia="宋体" w:cs="宋体"/>
          <w:sz w:val="18"/>
          <w:szCs w:val="18"/>
        </w:rPr>
        <w:t>本期末已到期未支付的应付票据总额为0.00元。</w:t>
      </w:r>
    </w:p>
    <w:p>
      <w:pPr>
        <w:pStyle w:val="4"/>
        <w:spacing w:line="280" w:lineRule="exact"/>
        <w:jc w:val="left"/>
        <w:rPr>
          <w:rFonts w:ascii="宋体" w:hAnsi="宋体" w:cs="宋体"/>
          <w:b/>
          <w:bCs/>
        </w:rPr>
      </w:pPr>
      <w:bookmarkStart w:id="279" w:name="_Toc989161"/>
      <w:r>
        <w:rPr>
          <w:rFonts w:ascii="宋体" w:hAnsi="宋体" w:cs="宋体"/>
          <w:b/>
          <w:bCs/>
        </w:rPr>
        <w:t>20、应付账款</w:t>
      </w:r>
      <w:bookmarkEnd w:id="279"/>
    </w:p>
    <w:p>
      <w:pPr>
        <w:keepNext/>
        <w:keepLines/>
        <w:spacing w:before="300" w:after="300" w:line="280" w:lineRule="exact"/>
        <w:outlineLvl w:val="3"/>
        <w:rPr>
          <w:rFonts w:ascii="宋体" w:hAnsi="宋体" w:eastAsia="宋体" w:cs="宋体"/>
          <w:b/>
          <w:bCs/>
          <w:sz w:val="18"/>
          <w:szCs w:val="18"/>
        </w:rPr>
      </w:pPr>
      <w:bookmarkStart w:id="280" w:name="_Toc989162"/>
      <w:r>
        <w:rPr>
          <w:rFonts w:ascii="宋体" w:hAnsi="宋体" w:eastAsia="宋体" w:cs="宋体"/>
          <w:b/>
          <w:bCs/>
          <w:sz w:val="18"/>
          <w:szCs w:val="18"/>
        </w:rPr>
        <w:t>（1） 应付账款列示</w:t>
      </w:r>
      <w:bookmarkEnd w:id="280"/>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材料款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193,590,635.69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146,027,946.83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工程款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2,470,598.48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284,489.72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3,150,194.64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1,558,638.42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199,211,428.81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147,871,074.97</w:t>
            </w:r>
          </w:p>
        </w:tc>
      </w:tr>
    </w:tbl>
    <w:p>
      <w:pPr>
        <w:keepNext/>
        <w:keepLines/>
        <w:spacing w:before="300" w:after="300" w:line="280" w:lineRule="exact"/>
        <w:outlineLvl w:val="3"/>
        <w:rPr>
          <w:rFonts w:ascii="宋体" w:hAnsi="宋体" w:eastAsia="宋体" w:cs="宋体"/>
          <w:b/>
          <w:bCs/>
          <w:sz w:val="18"/>
          <w:szCs w:val="18"/>
        </w:rPr>
      </w:pPr>
      <w:bookmarkStart w:id="281" w:name="_Toc989163"/>
      <w:r>
        <w:rPr>
          <w:rFonts w:ascii="宋体" w:hAnsi="宋体" w:eastAsia="宋体" w:cs="宋体"/>
          <w:b/>
          <w:bCs/>
          <w:sz w:val="18"/>
          <w:szCs w:val="18"/>
        </w:rPr>
        <w:t>（2） 账龄超过1年的重要应付账款</w:t>
      </w:r>
      <w:bookmarkEnd w:id="281"/>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未偿还或结转的原因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新疆三川智联信息科技有限公司</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1,957,487.11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尚未结算</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阿拉尔市荣方智能科技有限公司</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尚未结算</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2,917,487.11</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82" w:name="_Toc989164"/>
      <w:r>
        <w:rPr>
          <w:rFonts w:ascii="宋体" w:hAnsi="宋体" w:cs="宋体"/>
          <w:b/>
          <w:bCs/>
        </w:rPr>
        <w:t>21、合同负债</w:t>
      </w:r>
      <w:bookmarkEnd w:id="282"/>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货款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82,971,041.29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17,108,295.87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工程款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9,393,524.89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13,736,632.83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92,364,566.18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30,844,928.70</w:t>
            </w:r>
          </w:p>
        </w:tc>
      </w:tr>
    </w:tbl>
    <w:p>
      <w:pPr>
        <w:spacing w:line="240" w:lineRule="exact"/>
        <w:rPr>
          <w:rFonts w:ascii="宋体" w:hAnsi="宋体" w:eastAsia="宋体" w:cs="宋体"/>
          <w:sz w:val="18"/>
          <w:szCs w:val="18"/>
        </w:rPr>
      </w:pPr>
      <w:r>
        <w:rPr>
          <w:rFonts w:ascii="宋体" w:hAnsi="宋体" w:eastAsia="宋体" w:cs="宋体"/>
          <w:sz w:val="18"/>
          <w:szCs w:val="18"/>
        </w:rPr>
        <w:t>报告期内账面价值发生重大变动的金额和原因</w:t>
      </w:r>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20"/>
        <w:gridCol w:w="1874"/>
        <w:gridCol w:w="694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87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变动金额</w:t>
            </w:r>
          </w:p>
        </w:tc>
        <w:tc>
          <w:tcPr>
            <w:tcW w:w="694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变动原因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货款</w:t>
            </w:r>
          </w:p>
        </w:tc>
        <w:tc>
          <w:tcPr>
            <w:tcW w:w="18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58,938,705.26</w:t>
            </w:r>
          </w:p>
        </w:tc>
        <w:tc>
          <w:tcPr>
            <w:tcW w:w="694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新增合并单位天和永磁</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8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58,938,705.26</w:t>
            </w:r>
          </w:p>
        </w:tc>
        <w:tc>
          <w:tcPr>
            <w:tcW w:w="694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bl>
    <w:p>
      <w:pPr>
        <w:pStyle w:val="4"/>
        <w:spacing w:line="280" w:lineRule="exact"/>
        <w:jc w:val="left"/>
        <w:rPr>
          <w:rFonts w:ascii="宋体" w:hAnsi="宋体" w:cs="宋体"/>
          <w:b/>
          <w:bCs/>
        </w:rPr>
      </w:pPr>
      <w:bookmarkStart w:id="283" w:name="_Toc989165"/>
      <w:r>
        <w:rPr>
          <w:rFonts w:ascii="宋体" w:hAnsi="宋体" w:cs="宋体"/>
          <w:b/>
          <w:bCs/>
        </w:rPr>
        <w:t>22、应付职工薪酬</w:t>
      </w:r>
      <w:bookmarkEnd w:id="283"/>
    </w:p>
    <w:p>
      <w:pPr>
        <w:keepNext/>
        <w:keepLines/>
        <w:spacing w:before="300" w:after="300" w:line="280" w:lineRule="exact"/>
        <w:outlineLvl w:val="3"/>
        <w:rPr>
          <w:rFonts w:ascii="宋体" w:hAnsi="宋体" w:eastAsia="宋体" w:cs="宋体"/>
          <w:b/>
          <w:bCs/>
          <w:szCs w:val="21"/>
        </w:rPr>
      </w:pPr>
      <w:bookmarkStart w:id="284" w:name="_Toc989166"/>
      <w:r>
        <w:rPr>
          <w:rFonts w:ascii="宋体" w:hAnsi="宋体" w:eastAsia="宋体" w:cs="宋体"/>
          <w:b/>
          <w:bCs/>
          <w:szCs w:val="21"/>
        </w:rPr>
        <w:t>（1） 应付职工薪酬列示</w:t>
      </w:r>
      <w:bookmarkEnd w:id="284"/>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一、短期薪酬</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30,066,593.30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169,868,776.89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161,381,128.23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38,554,241.96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二、离职后福利-设定提存计划</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69,070.19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9,577,648.78</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9,646,718.97</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三、辞退福利</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150,000.00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150,000.00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30,135,663.49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179,596,425.67</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171,177,847.20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38,554,241.96</w:t>
            </w:r>
          </w:p>
        </w:tc>
      </w:tr>
    </w:tbl>
    <w:p>
      <w:pPr>
        <w:keepNext/>
        <w:keepLines/>
        <w:spacing w:before="300" w:after="300" w:line="280" w:lineRule="exact"/>
        <w:outlineLvl w:val="3"/>
        <w:rPr>
          <w:rFonts w:ascii="宋体" w:hAnsi="宋体" w:eastAsia="宋体" w:cs="宋体"/>
          <w:b/>
          <w:bCs/>
          <w:szCs w:val="21"/>
        </w:rPr>
      </w:pPr>
      <w:bookmarkStart w:id="285" w:name="_Toc989167"/>
      <w:r>
        <w:rPr>
          <w:rFonts w:ascii="宋体" w:hAnsi="宋体" w:eastAsia="宋体" w:cs="宋体"/>
          <w:b/>
          <w:bCs/>
          <w:szCs w:val="21"/>
        </w:rPr>
        <w:t>（2） 短期薪酬列示</w:t>
      </w:r>
      <w:bookmarkEnd w:id="285"/>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694"/>
        <w:gridCol w:w="1701"/>
        <w:gridCol w:w="1842"/>
        <w:gridCol w:w="1843"/>
        <w:gridCol w:w="155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84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8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55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26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1、工资、奖金、津贴和补贴</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29,975,827.82</w:t>
            </w: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159,926,684.80</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151,386,142.85</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38,516,369.77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2、职工福利费</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2,280,283.30</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2,280,283.30</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3、社会保险费</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44,160.73</w:t>
            </w: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4,241,257.82</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4,285,418.55</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其中：医疗保险费</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39,228.76</w:t>
            </w: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4,037,781.79</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4,077,010.55</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900" w:firstLineChars="500"/>
              <w:rPr>
                <w:rFonts w:ascii="宋体" w:hAnsi="宋体" w:eastAsia="宋体" w:cs="宋体"/>
                <w:sz w:val="18"/>
                <w:szCs w:val="18"/>
              </w:rPr>
            </w:pPr>
            <w:r>
              <w:rPr>
                <w:rFonts w:ascii="宋体" w:hAnsi="宋体" w:eastAsia="宋体" w:cs="宋体"/>
                <w:sz w:val="18"/>
                <w:szCs w:val="18"/>
              </w:rPr>
              <w:t>工伤保险费</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4,931.97</w:t>
            </w: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185,572.88</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190,504.85</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900" w:firstLineChars="500"/>
              <w:rPr>
                <w:rFonts w:ascii="宋体" w:hAnsi="宋体" w:eastAsia="宋体" w:cs="宋体"/>
                <w:sz w:val="18"/>
                <w:szCs w:val="18"/>
              </w:rPr>
            </w:pPr>
            <w:r>
              <w:rPr>
                <w:rFonts w:ascii="宋体" w:hAnsi="宋体" w:eastAsia="宋体" w:cs="宋体"/>
                <w:sz w:val="18"/>
                <w:szCs w:val="18"/>
              </w:rPr>
              <w:t>生育保险费</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17,903.15</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17,903.15</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4、住房公积金</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2,073,265.97</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2,073,265.97</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5、工会经费和职工教育经费</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46,604.75</w:t>
            </w: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1,347,285.00</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1,356,017.56</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37,872.19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30,066,593.30</w:t>
            </w:r>
          </w:p>
        </w:tc>
        <w:tc>
          <w:tcPr>
            <w:tcW w:w="184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169,868,776.89</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161,381,128.23</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38,554,241.96</w:t>
            </w:r>
          </w:p>
        </w:tc>
      </w:tr>
    </w:tbl>
    <w:p>
      <w:pPr>
        <w:keepNext/>
        <w:keepLines/>
        <w:spacing w:before="300" w:after="300" w:line="280" w:lineRule="exact"/>
        <w:outlineLvl w:val="3"/>
        <w:rPr>
          <w:rFonts w:ascii="宋体" w:hAnsi="宋体" w:eastAsia="宋体" w:cs="宋体"/>
          <w:b/>
          <w:bCs/>
          <w:szCs w:val="21"/>
        </w:rPr>
      </w:pPr>
      <w:bookmarkStart w:id="286" w:name="_Toc989168"/>
      <w:r>
        <w:rPr>
          <w:rFonts w:ascii="宋体" w:hAnsi="宋体" w:eastAsia="宋体" w:cs="宋体"/>
          <w:b/>
          <w:bCs/>
          <w:szCs w:val="21"/>
        </w:rPr>
        <w:t>（3） 设定提存计划列示</w:t>
      </w:r>
      <w:bookmarkEnd w:id="286"/>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1、基本养老保险</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66,688.02</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9,287,031.56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9,353,719.58</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2、失业保险费</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2,382.17</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290,617.22</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292,999.39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69,070.19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9,577,648.78</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9,646,718.97</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87" w:name="_Toc989169"/>
      <w:r>
        <w:rPr>
          <w:rFonts w:ascii="宋体" w:hAnsi="宋体" w:cs="宋体"/>
          <w:b/>
          <w:bCs/>
        </w:rPr>
        <w:t>23、应交税费</w:t>
      </w:r>
      <w:bookmarkEnd w:id="287"/>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增值税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5,870,443.90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6,182,619.16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企业所得税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14,687,137.57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15,805,420.92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个人所得税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165,638.59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69,999.77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城市维护建设税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1,247,101.02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494,180.44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教育费附加</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890,576.34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352,914.66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房产税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936,780.04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1,235,622.14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土地使用税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674,111.72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581,712.97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184,107.45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54,646.15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24,655,896.63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24,777,116.21</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88" w:name="_Toc989170"/>
      <w:r>
        <w:rPr>
          <w:rFonts w:ascii="宋体" w:hAnsi="宋体" w:cs="宋体"/>
          <w:b/>
          <w:bCs/>
        </w:rPr>
        <w:t>24、其他应付款</w:t>
      </w:r>
      <w:bookmarkEnd w:id="288"/>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其他应付款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22,691,295.52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23,044,353.58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22,691,295.52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23,044,353.58</w:t>
            </w:r>
          </w:p>
        </w:tc>
      </w:tr>
    </w:tbl>
    <w:p>
      <w:pPr>
        <w:keepNext/>
        <w:keepLines/>
        <w:spacing w:before="300" w:after="300" w:line="280" w:lineRule="exact"/>
        <w:outlineLvl w:val="3"/>
        <w:rPr>
          <w:rFonts w:ascii="宋体" w:hAnsi="宋体" w:eastAsia="宋体" w:cs="宋体"/>
          <w:b/>
          <w:bCs/>
          <w:sz w:val="18"/>
          <w:szCs w:val="18"/>
        </w:rPr>
      </w:pPr>
      <w:bookmarkStart w:id="289" w:name="_Toc989171"/>
      <w:r>
        <w:rPr>
          <w:rFonts w:ascii="宋体" w:hAnsi="宋体" w:eastAsia="宋体" w:cs="宋体"/>
          <w:b/>
          <w:bCs/>
          <w:sz w:val="18"/>
          <w:szCs w:val="18"/>
        </w:rPr>
        <w:t>（1） 其他应付款</w:t>
      </w:r>
      <w:bookmarkEnd w:id="289"/>
    </w:p>
    <w:p>
      <w:pPr>
        <w:keepNext/>
        <w:keepLines/>
        <w:spacing w:before="300" w:after="300" w:line="280" w:lineRule="exact"/>
        <w:outlineLvl w:val="4"/>
        <w:rPr>
          <w:rFonts w:ascii="宋体" w:hAnsi="宋体" w:eastAsia="宋体" w:cs="宋体"/>
          <w:b/>
          <w:bCs/>
          <w:sz w:val="18"/>
          <w:szCs w:val="18"/>
        </w:rPr>
      </w:pPr>
      <w:bookmarkStart w:id="290" w:name="_Toc989172"/>
      <w:r>
        <w:rPr>
          <w:rFonts w:ascii="宋体" w:hAnsi="宋体" w:eastAsia="宋体" w:cs="宋体"/>
          <w:b/>
          <w:bCs/>
          <w:sz w:val="18"/>
          <w:szCs w:val="18"/>
        </w:rPr>
        <w:t>1） 按款项性质列示其他应付款</w:t>
      </w:r>
      <w:bookmarkEnd w:id="290"/>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往来款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17,813,274.50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16,498,798.13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工程项目保证金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873,579.86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业务员应收账款风险保证金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2,852,503.71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3,056,364.15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押金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176,577.00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234,177.00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预提费用</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747,600.12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3,205,014.30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227,760.33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22,691,295.52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23,044,353.58</w:t>
            </w:r>
          </w:p>
        </w:tc>
      </w:tr>
    </w:tbl>
    <w:p>
      <w:pPr>
        <w:keepNext/>
        <w:keepLines/>
        <w:spacing w:before="300" w:after="300" w:line="280" w:lineRule="exact"/>
        <w:outlineLvl w:val="4"/>
        <w:rPr>
          <w:rFonts w:ascii="宋体" w:hAnsi="宋体" w:eastAsia="宋体" w:cs="宋体"/>
          <w:b/>
          <w:bCs/>
          <w:sz w:val="18"/>
          <w:szCs w:val="18"/>
        </w:rPr>
      </w:pPr>
      <w:bookmarkStart w:id="291" w:name="_Toc989173"/>
      <w:r>
        <w:rPr>
          <w:rFonts w:ascii="宋体" w:hAnsi="宋体" w:eastAsia="宋体" w:cs="宋体"/>
          <w:b/>
          <w:bCs/>
          <w:sz w:val="18"/>
          <w:szCs w:val="18"/>
        </w:rPr>
        <w:t>2） 账龄超过1年的重要其他应付款</w:t>
      </w:r>
      <w:bookmarkEnd w:id="291"/>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未偿还或结转的原因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余江县财政局</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7,990,000.00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未到期限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余江县工业园区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2,180,000.00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未到期限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10,170,000.00</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92" w:name="_Toc989174"/>
      <w:r>
        <w:rPr>
          <w:rFonts w:ascii="宋体" w:hAnsi="宋体" w:cs="宋体"/>
          <w:b/>
          <w:bCs/>
        </w:rPr>
        <w:t>25、一年内到期的非流动负债</w:t>
      </w:r>
      <w:bookmarkEnd w:id="292"/>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一年内到期的长期借款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一年内到期的租赁负债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68,508.82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68,508.82</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93" w:name="_Toc989175"/>
      <w:r>
        <w:rPr>
          <w:rFonts w:ascii="宋体" w:hAnsi="宋体" w:cs="宋体"/>
          <w:b/>
          <w:bCs/>
        </w:rPr>
        <w:t>26、其他流动负债</w:t>
      </w:r>
      <w:bookmarkEnd w:id="293"/>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待转销项税额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10,707,602.96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3,459,245.26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10,707,602.96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3,459,245.26</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短期应付债券的增减变动：</w:t>
      </w:r>
    </w:p>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94" w:name="_Toc989176"/>
      <w:r>
        <w:rPr>
          <w:rFonts w:ascii="宋体" w:hAnsi="宋体" w:cs="宋体"/>
          <w:b/>
          <w:bCs/>
        </w:rPr>
        <w:t>27、长期借款</w:t>
      </w:r>
      <w:bookmarkEnd w:id="294"/>
    </w:p>
    <w:p>
      <w:pPr>
        <w:keepNext/>
        <w:keepLines/>
        <w:spacing w:before="300" w:after="300" w:line="280" w:lineRule="exact"/>
        <w:outlineLvl w:val="3"/>
        <w:rPr>
          <w:rFonts w:ascii="宋体" w:hAnsi="宋体" w:eastAsia="宋体" w:cs="宋体"/>
          <w:b/>
          <w:bCs/>
          <w:sz w:val="18"/>
          <w:szCs w:val="18"/>
        </w:rPr>
      </w:pPr>
      <w:bookmarkStart w:id="295" w:name="_Toc989177"/>
      <w:r>
        <w:rPr>
          <w:rFonts w:ascii="宋体" w:hAnsi="宋体" w:eastAsia="宋体" w:cs="宋体"/>
          <w:b/>
          <w:bCs/>
          <w:sz w:val="18"/>
          <w:szCs w:val="18"/>
        </w:rPr>
        <w:t>（1） 长期借款分类</w:t>
      </w:r>
      <w:bookmarkEnd w:id="295"/>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保证借款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信用借款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900,000.00</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长期借款分类的说明：</w:t>
      </w:r>
    </w:p>
    <w:p>
      <w:pPr>
        <w:pStyle w:val="11"/>
        <w:spacing w:before="0" w:beforeAutospacing="0" w:after="0" w:afterAutospacing="0"/>
        <w:ind w:firstLine="360"/>
      </w:pPr>
      <w:r>
        <w:rPr>
          <w:rFonts w:hint="eastAsia"/>
          <w:sz w:val="18"/>
          <w:szCs w:val="18"/>
        </w:rPr>
        <w:t>本期公司子公司赣州天和永磁材料有限公司取得工商银行赣州章江支行1,000万元保证借款，由本公司为赣州天和永磁材料有限公司提供保证担保，由周钢华、陈久昌、舒金澄提供反担保。</w:t>
      </w:r>
    </w:p>
    <w:p>
      <w:pPr>
        <w:spacing w:before="100" w:after="100" w:line="240" w:lineRule="exact"/>
      </w:pPr>
      <w:r>
        <w:rPr>
          <w:rFonts w:ascii="宋体" w:hAnsi="宋体" w:eastAsia="宋体" w:cs="宋体"/>
          <w:sz w:val="18"/>
          <w:szCs w:val="18"/>
        </w:rPr>
        <w:t>其他说明，包括利率区间：</w:t>
      </w:r>
    </w:p>
    <w:p>
      <w:pPr>
        <w:pStyle w:val="4"/>
        <w:spacing w:line="280" w:lineRule="exact"/>
        <w:jc w:val="left"/>
        <w:rPr>
          <w:rFonts w:ascii="宋体" w:hAnsi="宋体" w:cs="宋体"/>
          <w:b/>
          <w:bCs/>
        </w:rPr>
      </w:pPr>
      <w:bookmarkStart w:id="296" w:name="_Toc989178"/>
      <w:r>
        <w:rPr>
          <w:rFonts w:ascii="宋体" w:hAnsi="宋体" w:cs="宋体"/>
          <w:b/>
          <w:bCs/>
        </w:rPr>
        <w:t>28、长期应付款</w:t>
      </w:r>
      <w:bookmarkEnd w:id="296"/>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长期应付款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102,311,666.66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102,311,666.66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keepNext/>
        <w:keepLines/>
        <w:spacing w:before="300" w:after="300" w:line="280" w:lineRule="exact"/>
        <w:outlineLvl w:val="3"/>
        <w:rPr>
          <w:rFonts w:ascii="宋体" w:hAnsi="宋体" w:eastAsia="宋体" w:cs="宋体"/>
          <w:b/>
          <w:bCs/>
          <w:sz w:val="18"/>
          <w:szCs w:val="18"/>
        </w:rPr>
      </w:pPr>
      <w:bookmarkStart w:id="297" w:name="_Toc989179"/>
      <w:r>
        <w:rPr>
          <w:rFonts w:ascii="宋体" w:hAnsi="宋体" w:eastAsia="宋体" w:cs="宋体"/>
          <w:b/>
          <w:bCs/>
          <w:sz w:val="18"/>
          <w:szCs w:val="18"/>
        </w:rPr>
        <w:t>（1） 按款项性质列示长期应付款</w:t>
      </w:r>
      <w:bookmarkEnd w:id="297"/>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三川集团借款本金及利息</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102,311,666.66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其他说明：</w:t>
      </w:r>
    </w:p>
    <w:p>
      <w:pPr>
        <w:pStyle w:val="11"/>
        <w:spacing w:before="0" w:beforeAutospacing="0" w:after="0" w:afterAutospacing="0"/>
        <w:ind w:firstLine="360"/>
      </w:pPr>
      <w:r>
        <w:rPr>
          <w:rFonts w:hint="eastAsia"/>
          <w:sz w:val="18"/>
          <w:szCs w:val="18"/>
        </w:rPr>
        <w:t>本期公司子公司赣州天和永磁材料有限公司取得本公司母公司江西三川集团有限公司10,000万元保证借款，由周钢华、陈久昌、舒金澄提供保证担保。该笔借款期限为36个月，到期一次还本付息，借款利率为5.7%/年。</w:t>
      </w:r>
    </w:p>
    <w:p>
      <w:pPr>
        <w:pStyle w:val="4"/>
        <w:spacing w:line="280" w:lineRule="exact"/>
        <w:jc w:val="left"/>
        <w:rPr>
          <w:rFonts w:ascii="宋体" w:hAnsi="宋体" w:cs="宋体"/>
          <w:b/>
          <w:bCs/>
        </w:rPr>
      </w:pPr>
      <w:bookmarkStart w:id="298" w:name="_Toc989180"/>
      <w:r>
        <w:rPr>
          <w:rFonts w:ascii="宋体" w:hAnsi="宋体" w:cs="宋体"/>
          <w:b/>
          <w:bCs/>
        </w:rPr>
        <w:t>29、递延收益</w:t>
      </w:r>
      <w:bookmarkEnd w:id="298"/>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607"/>
        <w:gridCol w:w="1607"/>
        <w:gridCol w:w="160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形成原因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政府补助</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22,813,210.70</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2,468,948.00</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20,344,262.70</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项目补助</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22,813,210.70</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2,468,948.00</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20,344,262.70</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tc>
      </w:tr>
    </w:tbl>
    <w:p>
      <w:pPr>
        <w:spacing w:before="40" w:after="40" w:line="240" w:lineRule="exact"/>
        <w:rPr>
          <w:rFonts w:ascii="宋体" w:hAnsi="宋体" w:eastAsia="宋体" w:cs="宋体"/>
          <w:sz w:val="18"/>
          <w:szCs w:val="18"/>
        </w:rPr>
      </w:pPr>
      <w:r>
        <w:rPr>
          <w:rFonts w:ascii="宋体" w:hAnsi="宋体" w:eastAsia="宋体" w:cs="宋体"/>
          <w:sz w:val="18"/>
          <w:szCs w:val="18"/>
        </w:rPr>
        <w:t>涉及政府补助的项目：</w:t>
      </w:r>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701"/>
        <w:gridCol w:w="1418"/>
        <w:gridCol w:w="850"/>
        <w:gridCol w:w="851"/>
        <w:gridCol w:w="1134"/>
        <w:gridCol w:w="850"/>
        <w:gridCol w:w="567"/>
        <w:gridCol w:w="1197"/>
        <w:gridCol w:w="107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负债项目</w:t>
            </w:r>
          </w:p>
        </w:tc>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85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本期新增补助金额</w:t>
            </w:r>
          </w:p>
        </w:tc>
        <w:tc>
          <w:tcPr>
            <w:tcW w:w="85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本期计入营业外收入金额</w:t>
            </w:r>
          </w:p>
        </w:tc>
        <w:tc>
          <w:tcPr>
            <w:tcW w:w="113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本期计入其他收益金额</w:t>
            </w:r>
          </w:p>
        </w:tc>
        <w:tc>
          <w:tcPr>
            <w:tcW w:w="85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本期冲减成本费用金额</w:t>
            </w:r>
          </w:p>
        </w:tc>
        <w:tc>
          <w:tcPr>
            <w:tcW w:w="56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其他变动</w:t>
            </w:r>
          </w:p>
        </w:tc>
        <w:tc>
          <w:tcPr>
            <w:tcW w:w="119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与资产相关/与收益相关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2017年工业转型升级（中国制造2025）资金（部门预算）——基于NB-IOT的产品产业化与应用推广项目</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8,000,000.00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7,800,000.00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与资产相关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年产25万套智能超声波水表项目</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2,200,000.00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2,200,000.00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与资产相关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大口径智能热量表技改项目</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1,575,000.03</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875,000.03</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与资产相关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窄带物联网技术开发及应用</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1,500,000.00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1,500,000.00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与资产相关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2060402应用技术研究与开发</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1,500,000.00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1,500,000.00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与资产相关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技术改造拨款</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1,192,499.97</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662,499.97</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与资产相关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园区产业集群公共服务平台</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1,110,000.00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925,000.00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与资产相关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设计服务平台项目</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922,499.97</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512,499.97</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与资产相关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物联网产业发展引导资金</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760,000.00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741,000.00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与资产相关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智能化水表制造试点示范项目</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600,000.00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与资产相关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基于NB-IOT技术的智慧水务平台应用及推广</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500,000.00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与资产相关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高精度大口径水计量试验装置建设项目</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420,000.00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与资产相关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基于窄带物联网技术的智能水表开发测试创新</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400,000.00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与资产相关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物联网（智能水表）</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200,000.00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与资产相关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外贸公共服务平台建设资金</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112,499.97</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50,000.00</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62,499.97</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与资产相关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余江至鹰潭应急水源管网</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1,137,078.82</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42,341.88</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1,094,736.94</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与资产相关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余江区双创工程</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363,631.94</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12,606.12</w:t>
            </w:r>
          </w:p>
        </w:tc>
        <w:tc>
          <w:tcPr>
            <w:tcW w:w="85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56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9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351,025.82</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与资产相关</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299" w:name="_Toc989181"/>
      <w:r>
        <w:rPr>
          <w:rFonts w:ascii="宋体" w:hAnsi="宋体" w:cs="宋体"/>
          <w:b/>
          <w:bCs/>
        </w:rPr>
        <w:t>30、其他非流动负债</w:t>
      </w:r>
      <w:bookmarkEnd w:id="299"/>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三川水工产业园2.8MW太阳能分布式光伏发电项目合作款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4,129,200.00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4,129,200.00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4,129,200.00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4,129,200.00</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其他说明：</w:t>
      </w:r>
    </w:p>
    <w:p>
      <w:pPr>
        <w:pStyle w:val="11"/>
        <w:spacing w:before="40" w:beforeAutospacing="0" w:after="40" w:afterAutospacing="0"/>
        <w:ind w:firstLine="360"/>
      </w:pPr>
      <w:r>
        <w:rPr>
          <w:rFonts w:hint="eastAsia"/>
          <w:sz w:val="18"/>
          <w:szCs w:val="18"/>
        </w:rPr>
        <w:t>2015年公司与鹰潭炬能科技发展有限公司签订协议，双方共同投资建设太阳能分布式发电项目，鹰潭炬能科技发展有限公司投入412.92万元，投资占比20%。</w:t>
      </w:r>
    </w:p>
    <w:p>
      <w:pPr>
        <w:pStyle w:val="4"/>
        <w:spacing w:line="280" w:lineRule="exact"/>
        <w:jc w:val="left"/>
        <w:rPr>
          <w:rFonts w:ascii="宋体" w:hAnsi="宋体" w:cs="宋体"/>
          <w:b/>
          <w:bCs/>
        </w:rPr>
      </w:pPr>
      <w:bookmarkStart w:id="300" w:name="_Toc989182"/>
      <w:r>
        <w:rPr>
          <w:rFonts w:ascii="宋体" w:hAnsi="宋体" w:cs="宋体"/>
          <w:b/>
          <w:bCs/>
        </w:rPr>
        <w:t>31、股本</w:t>
      </w:r>
      <w:bookmarkEnd w:id="300"/>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04"/>
        <w:gridCol w:w="1205"/>
        <w:gridCol w:w="1205"/>
        <w:gridCol w:w="1205"/>
        <w:gridCol w:w="1205"/>
        <w:gridCol w:w="1205"/>
        <w:gridCol w:w="1205"/>
        <w:gridCol w:w="120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tc>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6024"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本次变动增减（+、-）</w:t>
            </w:r>
          </w:p>
        </w:tc>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发行新股</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送股</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公积金转股</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小计</w:t>
            </w:r>
          </w:p>
        </w:tc>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股份总数</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1,040,033,262.00</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01" w:name="_Toc989183"/>
      <w:r>
        <w:rPr>
          <w:rFonts w:ascii="宋体" w:hAnsi="宋体" w:cs="宋体"/>
          <w:b/>
          <w:bCs/>
        </w:rPr>
        <w:t>32、资本公积</w:t>
      </w:r>
      <w:bookmarkEnd w:id="301"/>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资本溢价（股本溢价）</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11,614,734.66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11,614,734.66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其他资本公积</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22,586,631.18</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1,485,866.22</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24,072,497.40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34,201,365.84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1,485,866.22</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35,687,232.06</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其他说明，包括本期增减变动情况、变动原因说明：</w:t>
      </w:r>
    </w:p>
    <w:p>
      <w:pPr>
        <w:pStyle w:val="11"/>
        <w:spacing w:before="40" w:beforeAutospacing="0" w:after="40" w:afterAutospacing="0"/>
        <w:ind w:firstLine="357"/>
      </w:pPr>
      <w:r>
        <w:rPr>
          <w:rFonts w:hint="eastAsia"/>
          <w:sz w:val="18"/>
          <w:szCs w:val="18"/>
        </w:rPr>
        <w:t>（1）本公司对苏州吾爱易达物联网有限公司（以下简称“吾爱易达”）的股权因其他投资方增资而导致本公司的持股比例被稀释，稀释后本公司仍对吾爱易达采用权益法核算并调整相关长期股权投资的账面价值，将累计影响1,088,053.04元计入其他资本公积；</w:t>
      </w:r>
    </w:p>
    <w:p>
      <w:pPr>
        <w:pStyle w:val="11"/>
        <w:spacing w:before="40" w:beforeAutospacing="0" w:after="40" w:afterAutospacing="0"/>
        <w:ind w:firstLine="357"/>
      </w:pPr>
      <w:r>
        <w:rPr>
          <w:rFonts w:hint="eastAsia"/>
          <w:sz w:val="18"/>
          <w:szCs w:val="18"/>
        </w:rPr>
        <w:t>（2）本公司按持股比例确认杭州三川国德物联网科技有限公司的股权激励摊销影响其他资本公积397,813.18元。</w:t>
      </w:r>
    </w:p>
    <w:p>
      <w:pPr>
        <w:pStyle w:val="4"/>
        <w:spacing w:line="280" w:lineRule="exact"/>
        <w:jc w:val="left"/>
        <w:rPr>
          <w:rFonts w:ascii="宋体" w:hAnsi="宋体" w:cs="宋体"/>
          <w:b/>
          <w:bCs/>
        </w:rPr>
      </w:pPr>
      <w:bookmarkStart w:id="302" w:name="_Toc989184"/>
      <w:r>
        <w:rPr>
          <w:rFonts w:ascii="宋体" w:hAnsi="宋体" w:cs="宋体"/>
          <w:b/>
          <w:bCs/>
        </w:rPr>
        <w:t>33、专项储备</w:t>
      </w:r>
      <w:bookmarkEnd w:id="302"/>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安全生产费</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4,751,806.92</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9,688,159.89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35,136.13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14,404,830.68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4,751,806.92</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9,688,159.89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35,136.13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14,404,830.68</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其他说明，包括本期增减变动情况、变动原因说明：</w:t>
      </w:r>
    </w:p>
    <w:p>
      <w:pPr>
        <w:pStyle w:val="11"/>
        <w:spacing w:before="40" w:beforeAutospacing="0" w:after="40" w:afterAutospacing="0"/>
      </w:pPr>
      <w:r>
        <w:rPr>
          <w:rFonts w:hint="eastAsia"/>
          <w:sz w:val="18"/>
          <w:szCs w:val="18"/>
        </w:rPr>
        <w:t>本期增加包含本期提取安全生产费用 862,388.74元，合并天和永磁转入8,825,771.15元</w:t>
      </w:r>
    </w:p>
    <w:p>
      <w:pPr>
        <w:pStyle w:val="4"/>
        <w:spacing w:line="280" w:lineRule="exact"/>
        <w:jc w:val="left"/>
        <w:rPr>
          <w:rFonts w:ascii="宋体" w:hAnsi="宋体" w:cs="宋体"/>
          <w:b/>
          <w:bCs/>
        </w:rPr>
      </w:pPr>
      <w:bookmarkStart w:id="303" w:name="_Toc989185"/>
      <w:r>
        <w:rPr>
          <w:rFonts w:ascii="宋体" w:hAnsi="宋体" w:cs="宋体"/>
          <w:b/>
          <w:bCs/>
        </w:rPr>
        <w:t>34、盈余公积</w:t>
      </w:r>
      <w:bookmarkEnd w:id="303"/>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本期增加</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本期减少</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法定盈余公积</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148,069,158.75</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18,549,966.73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166,619,125.48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148,069,158.75</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18,549,966.73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166,619,125.48</w:t>
            </w:r>
          </w:p>
        </w:tc>
      </w:tr>
    </w:tbl>
    <w:p>
      <w:pPr>
        <w:spacing w:before="100" w:after="100" w:line="240" w:lineRule="exact"/>
      </w:pPr>
      <w:r>
        <w:rPr>
          <w:rFonts w:ascii="宋体" w:hAnsi="宋体" w:eastAsia="宋体" w:cs="宋体"/>
          <w:sz w:val="18"/>
          <w:szCs w:val="18"/>
        </w:rPr>
        <w:t>盈余公积说明，包括本期增减变动情况、变动原因说明：</w:t>
      </w:r>
    </w:p>
    <w:p>
      <w:pPr>
        <w:pStyle w:val="4"/>
        <w:spacing w:line="280" w:lineRule="exact"/>
        <w:jc w:val="left"/>
        <w:rPr>
          <w:rFonts w:ascii="宋体" w:hAnsi="宋体" w:cs="宋体"/>
          <w:b/>
          <w:bCs/>
        </w:rPr>
      </w:pPr>
      <w:bookmarkStart w:id="304" w:name="_Toc989186"/>
      <w:r>
        <w:rPr>
          <w:rFonts w:ascii="宋体" w:hAnsi="宋体" w:cs="宋体"/>
          <w:b/>
          <w:bCs/>
        </w:rPr>
        <w:t>35、未分配利润</w:t>
      </w:r>
      <w:bookmarkEnd w:id="304"/>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调整前上期末未分配利润</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820,901,820.99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683,711,389.98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调整期初未分配利润合计数（调增+，调减—）</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4,393,943.30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调整后期初未分配利润</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820,901,820.99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688,105,333.28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加：本期归属于母公司所有者的净利润</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213,914,714.40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189,301,310.10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减：提取法定盈余公积</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18,549,966.73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14,903,491.91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应付普通股股利</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31,200,997.86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41,601,330.48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期末未分配利润</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985,065,570.80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820,901,820.99</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调整期初未分配利润明细：</w:t>
      </w:r>
    </w:p>
    <w:p>
      <w:pPr>
        <w:spacing w:before="100" w:after="100" w:line="240" w:lineRule="exact"/>
        <w:rPr>
          <w:rFonts w:ascii="宋体" w:hAnsi="宋体" w:eastAsia="宋体" w:cs="宋体"/>
          <w:sz w:val="18"/>
          <w:szCs w:val="18"/>
        </w:rPr>
      </w:pPr>
      <w:r>
        <w:rPr>
          <w:rFonts w:ascii="宋体" w:hAnsi="宋体" w:eastAsia="宋体" w:cs="宋体"/>
          <w:sz w:val="18"/>
          <w:szCs w:val="18"/>
        </w:rPr>
        <w:t>1)、由于《企业会计准则》及其相关新规定进行追溯调整，影响期初未分配利润元。</w:t>
      </w:r>
    </w:p>
    <w:p>
      <w:pPr>
        <w:spacing w:before="100" w:after="100" w:line="240" w:lineRule="exact"/>
        <w:rPr>
          <w:rFonts w:ascii="宋体" w:hAnsi="宋体" w:eastAsia="宋体" w:cs="宋体"/>
          <w:sz w:val="18"/>
          <w:szCs w:val="18"/>
        </w:rPr>
      </w:pPr>
      <w:r>
        <w:rPr>
          <w:rFonts w:ascii="宋体" w:hAnsi="宋体" w:eastAsia="宋体" w:cs="宋体"/>
          <w:sz w:val="18"/>
          <w:szCs w:val="18"/>
        </w:rPr>
        <w:t>2)、由于会计政策变更，影响期初未分配利润元。</w:t>
      </w:r>
    </w:p>
    <w:p>
      <w:pPr>
        <w:spacing w:before="100" w:after="100" w:line="240" w:lineRule="exact"/>
        <w:rPr>
          <w:rFonts w:ascii="宋体" w:hAnsi="宋体" w:eastAsia="宋体" w:cs="宋体"/>
          <w:sz w:val="18"/>
          <w:szCs w:val="18"/>
        </w:rPr>
      </w:pPr>
      <w:r>
        <w:rPr>
          <w:rFonts w:ascii="宋体" w:hAnsi="宋体" w:eastAsia="宋体" w:cs="宋体"/>
          <w:sz w:val="18"/>
          <w:szCs w:val="18"/>
        </w:rPr>
        <w:t>3)、由于重大会计差错更正，影响期初未分配利润元。</w:t>
      </w:r>
    </w:p>
    <w:p>
      <w:pPr>
        <w:spacing w:before="100" w:after="100" w:line="240" w:lineRule="exact"/>
        <w:rPr>
          <w:rFonts w:ascii="宋体" w:hAnsi="宋体" w:eastAsia="宋体" w:cs="宋体"/>
          <w:sz w:val="18"/>
          <w:szCs w:val="18"/>
        </w:rPr>
      </w:pPr>
      <w:r>
        <w:rPr>
          <w:rFonts w:ascii="宋体" w:hAnsi="宋体" w:eastAsia="宋体" w:cs="宋体"/>
          <w:sz w:val="18"/>
          <w:szCs w:val="18"/>
        </w:rPr>
        <w:t>4)、由于同一控制导致的合并范围变更，影响期初未分配利润元。</w:t>
      </w:r>
    </w:p>
    <w:p>
      <w:pPr>
        <w:spacing w:before="100" w:after="100" w:line="240" w:lineRule="exact"/>
        <w:rPr>
          <w:rFonts w:ascii="宋体" w:hAnsi="宋体" w:eastAsia="宋体" w:cs="宋体"/>
          <w:sz w:val="18"/>
          <w:szCs w:val="18"/>
        </w:rPr>
      </w:pPr>
      <w:r>
        <w:rPr>
          <w:rFonts w:ascii="宋体" w:hAnsi="宋体" w:eastAsia="宋体" w:cs="宋体"/>
          <w:sz w:val="18"/>
          <w:szCs w:val="18"/>
        </w:rPr>
        <w:t>5)、其他调整合计影响期初未分配利润元。</w:t>
      </w:r>
    </w:p>
    <w:p>
      <w:pPr>
        <w:pStyle w:val="4"/>
        <w:spacing w:line="280" w:lineRule="exact"/>
        <w:jc w:val="left"/>
        <w:rPr>
          <w:rFonts w:ascii="宋体" w:hAnsi="宋体" w:cs="宋体"/>
          <w:b/>
          <w:bCs/>
        </w:rPr>
      </w:pPr>
      <w:bookmarkStart w:id="305" w:name="_Toc989187"/>
      <w:r>
        <w:rPr>
          <w:rFonts w:ascii="宋体" w:hAnsi="宋体" w:cs="宋体"/>
          <w:b/>
          <w:bCs/>
        </w:rPr>
        <w:t>36、营业收入和营业成本</w:t>
      </w:r>
      <w:bookmarkEnd w:id="305"/>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收入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成本</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收入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成本</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主营业务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1,312,877,061.64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992,113,186.22</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923,889,485.43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614,608,154.07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其他业务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18,802,662.94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12,074,502.01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13,050,033.12</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12,263,845.56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1,331,679,724.58</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1,004,187,688.23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936,939,518.55</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626,871,999.63</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经审计扣除非经常损益前后净利润孰低是否为负值</w:t>
      </w:r>
    </w:p>
    <w:p>
      <w:pPr>
        <w:spacing w:before="40" w:after="40" w:line="240" w:lineRule="exact"/>
        <w:rPr>
          <w:rFonts w:ascii="宋体" w:hAnsi="宋体" w:eastAsia="宋体" w:cs="宋体"/>
          <w:sz w:val="18"/>
          <w:szCs w:val="18"/>
        </w:rPr>
      </w:pPr>
      <w:r>
        <w:rPr>
          <w:rFonts w:ascii="宋体" w:hAnsi="宋体" w:eastAsia="宋体" w:cs="宋体"/>
          <w:sz w:val="18"/>
          <w:szCs w:val="18"/>
        </w:rPr>
        <w:t xml:space="preserve">□是 </w:t>
      </w:r>
      <w:r>
        <w:rPr>
          <w:szCs w:val="24"/>
        </w:rPr>
        <w:t>√</w:t>
      </w:r>
      <w:r>
        <w:rPr>
          <w:rFonts w:ascii="宋体" w:hAnsi="宋体" w:eastAsia="宋体" w:cs="宋体"/>
          <w:sz w:val="18"/>
          <w:szCs w:val="18"/>
        </w:rPr>
        <w:t>否</w:t>
      </w:r>
    </w:p>
    <w:p>
      <w:pPr>
        <w:spacing w:line="240" w:lineRule="exact"/>
        <w:rPr>
          <w:rFonts w:ascii="宋体" w:hAnsi="宋体" w:eastAsia="宋体" w:cs="宋体"/>
          <w:sz w:val="18"/>
          <w:szCs w:val="18"/>
        </w:rPr>
      </w:pPr>
      <w:r>
        <w:rPr>
          <w:rFonts w:ascii="宋体" w:hAnsi="宋体" w:eastAsia="宋体" w:cs="宋体"/>
          <w:sz w:val="18"/>
          <w:szCs w:val="18"/>
        </w:rPr>
        <w:t>收入相关信息：</w:t>
      </w:r>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合同分类</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分部1</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分部2</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商品类型</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其中：</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水表</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808,089,835.00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808,089,835.00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自来水</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12,735,993.05</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12,735,993.05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供水工程</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41,780,761.09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41,780,761.09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软硬件销售及服务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42,237,823.10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42,237,823.10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二次供水设备</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18,434,960.99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18,434,960.99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89,032,306.19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89,032,306.19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稀土氧化物</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319,368,045.16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319,368,045.16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按经营地区分类</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　其中：</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国内</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862,380,033.93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319,368,045.16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1,181,748,079.09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国外</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149,931,645.49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149,931,645.49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市场或客户类型</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　其中：</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合同类型</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　其中：</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按商品转让的时间分类</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　其中：</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按合同期限分类</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　其中：</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按销售渠道分类</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　其中：</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直销</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791,757,527.14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130,704,606.23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922,462,133.37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经销</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166,037,398.14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188,663,438.93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354,700,837.07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54,516,754.14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54,516,754.14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1,012,311,679.42</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319,368,045.16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1,331,679,724.58</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与履约义务相关的信息：</w:t>
      </w:r>
    </w:p>
    <w:p>
      <w:pPr>
        <w:spacing w:before="100" w:after="100"/>
        <w:ind w:firstLine="360" w:firstLineChars="200"/>
        <w:rPr>
          <w:rFonts w:ascii="宋体" w:hAnsi="宋体" w:eastAsia="宋体" w:cs="宋体"/>
          <w:sz w:val="18"/>
          <w:szCs w:val="18"/>
        </w:rPr>
      </w:pPr>
      <w:r>
        <w:rPr>
          <w:rFonts w:hint="eastAsia" w:ascii="宋体" w:hAnsi="宋体" w:eastAsia="宋体" w:cs="宋体"/>
          <w:sz w:val="18"/>
          <w:szCs w:val="18"/>
        </w:rPr>
        <w:t>公司销售商品的履约时间按合同约定，相关履约条款为根据合同约定收款及发货，国内销售于商品发出、取得商品控制权转移的相关凭据、并确定相关货款能收回时确认收入；出口销售，于完成海关报关手续、并确定相关货款能收回时确认收入。提供劳务及工程合同履约时间通常在</w:t>
      </w:r>
      <w:r>
        <w:rPr>
          <w:rFonts w:ascii="宋体" w:hAnsi="宋体" w:eastAsia="宋体" w:cs="宋体"/>
          <w:sz w:val="18"/>
          <w:szCs w:val="18"/>
        </w:rPr>
        <w:t>1-6月内，相关履约条款为根据合同约定提供劳务及收款，在相关劳务或商品控制权转移给客户时确认收入。</w:t>
      </w:r>
    </w:p>
    <w:p>
      <w:pPr>
        <w:spacing w:line="240" w:lineRule="exact"/>
        <w:rPr>
          <w:rFonts w:ascii="宋体" w:hAnsi="宋体" w:eastAsia="宋体" w:cs="宋体"/>
          <w:sz w:val="18"/>
          <w:szCs w:val="18"/>
        </w:rPr>
      </w:pPr>
      <w:r>
        <w:rPr>
          <w:rFonts w:ascii="宋体" w:hAnsi="宋体" w:eastAsia="宋体" w:cs="宋体"/>
          <w:sz w:val="18"/>
          <w:szCs w:val="18"/>
        </w:rPr>
        <w:t>本报告期末已签订合同、但尚未履行或尚未履行完毕的履约义务所对应的收入金额为0.00元，其中，元预计将于年度确认收入，元预计将于年度确认收入，元预计将于年度确认收入。</w:t>
      </w:r>
    </w:p>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06" w:name="_Toc989188"/>
      <w:r>
        <w:rPr>
          <w:rFonts w:ascii="宋体" w:hAnsi="宋体" w:cs="宋体"/>
          <w:b/>
          <w:bCs/>
        </w:rPr>
        <w:t>37、税金及附加</w:t>
      </w:r>
      <w:bookmarkEnd w:id="306"/>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城市维护建设税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3,424,182.11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3,133,710.48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教育费附加</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2,445,197.67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2,236,947.23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房产税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1,895,979.67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2,063,401.69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土地使用税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2,027,033.83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1,968,686.84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印花税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508,803.48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252,555.04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22,651.65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58,814.58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10,323,848.41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9,714,115.86</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07" w:name="_Toc989189"/>
      <w:r>
        <w:rPr>
          <w:rFonts w:ascii="宋体" w:hAnsi="宋体" w:cs="宋体"/>
          <w:b/>
          <w:bCs/>
        </w:rPr>
        <w:t>38、销售费用</w:t>
      </w:r>
      <w:bookmarkEnd w:id="307"/>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业务薪酬及服务费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74,939,270.68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60,638,268.82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办公费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429,234.55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865,800.47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交通差旅费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5,449,134.96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4,497,826.51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广告宣传费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340,330.21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2,886,289.27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业务招待费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4,563,747.35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4,732,107.52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售后服务费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4,855,120.35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7,891,309.86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折旧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1,028,963.99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1,067,362.72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租赁费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552,323.91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689,469.45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招投标费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2,728,624.26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2,340,386.67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4,550,905.75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4,130,723.22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99,437,656.01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89,739,544.51</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08" w:name="_Toc989190"/>
      <w:r>
        <w:rPr>
          <w:rFonts w:ascii="宋体" w:hAnsi="宋体" w:cs="宋体"/>
          <w:b/>
          <w:bCs/>
        </w:rPr>
        <w:t>39、管理费用</w:t>
      </w:r>
      <w:bookmarkEnd w:id="308"/>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职工薪酬</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37,218,576.59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31,950,305.05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办公费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2,051,591.08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1,481,579.92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交通差旅费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2,215,119.74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1,937,780.79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业务招待费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4,542,432.13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3,514,635.65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中介机构服务费及咨询费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4,450,794.67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2,637,934.13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折旧费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3,542,461.45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4,652,711.40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租赁费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539,308.39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598,770.76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摊销费用</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2,550,395.21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2,290,408.17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4,760,818.45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3,979,201.08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61,871,497.71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53,043,326.95</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09" w:name="_Toc989191"/>
      <w:r>
        <w:rPr>
          <w:rFonts w:ascii="宋体" w:hAnsi="宋体" w:cs="宋体"/>
          <w:b/>
          <w:bCs/>
        </w:rPr>
        <w:t>40、研发费用</w:t>
      </w:r>
      <w:bookmarkEnd w:id="309"/>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职工薪酬</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37,879,975.29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32,714,267.15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直接投入费用</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8,979,836.77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10,400,093.86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折旧费用</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4,275,242.34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4,234,088.28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无形资产摊销</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951,017.54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954,736.32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其他相关费用</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2,015,187.88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5,242,933.52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54,101,259.82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53,546,119.13</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10" w:name="_Toc989192"/>
      <w:r>
        <w:rPr>
          <w:rFonts w:ascii="宋体" w:hAnsi="宋体" w:cs="宋体"/>
          <w:b/>
          <w:bCs/>
        </w:rPr>
        <w:t>41、财务费用</w:t>
      </w:r>
      <w:bookmarkEnd w:id="310"/>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利息支出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2,800,107.79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57,347.50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减：利息收入</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4,699,115.98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3,191,176.00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汇兑损益</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-2,601,619.92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765,942.49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310,202.81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239,158.08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-4,190,425.30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-2,128,727.93</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11" w:name="_Toc989193"/>
      <w:r>
        <w:rPr>
          <w:rFonts w:ascii="宋体" w:hAnsi="宋体" w:cs="宋体"/>
          <w:b/>
          <w:bCs/>
        </w:rPr>
        <w:t>42、其他收益</w:t>
      </w:r>
      <w:bookmarkEnd w:id="311"/>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产生其他收益的来源</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增值税即征即退</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21,812,322.24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22,308,056.20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政府补助</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12,911,373.52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4,922,544.96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115,739.82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279,555.93</w:t>
            </w:r>
          </w:p>
        </w:tc>
      </w:tr>
    </w:tbl>
    <w:p>
      <w:pPr>
        <w:pStyle w:val="4"/>
        <w:spacing w:line="280" w:lineRule="exact"/>
        <w:jc w:val="left"/>
        <w:rPr>
          <w:rFonts w:ascii="宋体" w:hAnsi="宋体" w:cs="宋体"/>
          <w:b/>
          <w:bCs/>
        </w:rPr>
      </w:pPr>
      <w:bookmarkStart w:id="312" w:name="_Toc989194"/>
      <w:r>
        <w:rPr>
          <w:rFonts w:ascii="宋体" w:hAnsi="宋体" w:cs="宋体"/>
          <w:b/>
          <w:bCs/>
        </w:rPr>
        <w:t>43、投资收益</w:t>
      </w:r>
      <w:bookmarkEnd w:id="312"/>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544"/>
        <w:gridCol w:w="2882"/>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88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权益法核算的长期股权投资收益</w:t>
            </w:r>
          </w:p>
        </w:tc>
        <w:tc>
          <w:tcPr>
            <w:tcW w:w="288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119,859,379.74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85,719,868.59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处置长期股权投资产生的投资收益</w:t>
            </w:r>
          </w:p>
        </w:tc>
        <w:tc>
          <w:tcPr>
            <w:tcW w:w="288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2,895.57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交易性金融资产在持有期间的投资收益</w:t>
            </w:r>
          </w:p>
        </w:tc>
        <w:tc>
          <w:tcPr>
            <w:tcW w:w="288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3,664,489.60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8,509,518.97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处置交易性金融资产取得的投资收益</w:t>
            </w:r>
          </w:p>
        </w:tc>
        <w:tc>
          <w:tcPr>
            <w:tcW w:w="288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债权投资在持有期间取得的利息收入</w:t>
            </w:r>
          </w:p>
        </w:tc>
        <w:tc>
          <w:tcPr>
            <w:tcW w:w="288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5,664,994.99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8,485,878.80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债务重组收益</w:t>
            </w:r>
          </w:p>
        </w:tc>
        <w:tc>
          <w:tcPr>
            <w:tcW w:w="288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-1,050,000.00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288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128,138,864.33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102,728,161.93</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13" w:name="_Toc989195"/>
      <w:r>
        <w:rPr>
          <w:rFonts w:ascii="宋体" w:hAnsi="宋体" w:cs="宋体"/>
          <w:b/>
          <w:bCs/>
        </w:rPr>
        <w:t>44、公允价值变动收益</w:t>
      </w:r>
      <w:bookmarkEnd w:id="313"/>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产生公允价值变动收益的来源</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交易性金融资产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6,588,110.66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8,201,153.45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6,588,110.66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8,201,153.45</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14" w:name="_Toc989196"/>
      <w:r>
        <w:rPr>
          <w:rFonts w:ascii="宋体" w:hAnsi="宋体" w:cs="宋体"/>
          <w:b/>
          <w:bCs/>
        </w:rPr>
        <w:t>45、信用减值损失</w:t>
      </w:r>
      <w:bookmarkEnd w:id="314"/>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其他应收款坏账损失</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-2,757,894.72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-2,502,355.62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应收票据坏账损失</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153,125.52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122,108.95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应收账款坏账损失</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-22,933,114.49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-23,777,740.70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-25,537,883.69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-26,157,987.37</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15" w:name="_Toc989197"/>
      <w:r>
        <w:rPr>
          <w:rFonts w:ascii="宋体" w:hAnsi="宋体" w:cs="宋体"/>
          <w:b/>
          <w:bCs/>
        </w:rPr>
        <w:t>46、资产减值损失</w:t>
      </w:r>
      <w:bookmarkEnd w:id="315"/>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二、存货跌价损失及合同履约成本减值损失</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-2,130,359.31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-1,275,402.62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-2,130,359.31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-1,275,402.62</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16" w:name="_Toc989198"/>
      <w:r>
        <w:rPr>
          <w:rFonts w:ascii="宋体" w:hAnsi="宋体" w:cs="宋体"/>
          <w:b/>
          <w:bCs/>
        </w:rPr>
        <w:t>47、资产处置收益</w:t>
      </w:r>
      <w:bookmarkEnd w:id="316"/>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资产处置收益的来源</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非流动资产处置收益</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873,026.79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-204,345.93</w:t>
            </w:r>
          </w:p>
        </w:tc>
      </w:tr>
    </w:tbl>
    <w:p>
      <w:pPr>
        <w:pStyle w:val="4"/>
        <w:spacing w:line="280" w:lineRule="exact"/>
        <w:jc w:val="left"/>
        <w:rPr>
          <w:rFonts w:ascii="宋体" w:hAnsi="宋体" w:cs="宋体"/>
          <w:b/>
          <w:bCs/>
        </w:rPr>
      </w:pPr>
      <w:bookmarkStart w:id="317" w:name="_Toc989199"/>
      <w:r>
        <w:rPr>
          <w:rFonts w:ascii="宋体" w:hAnsi="宋体" w:cs="宋体"/>
          <w:b/>
          <w:bCs/>
        </w:rPr>
        <w:t>48、营业外收入</w:t>
      </w:r>
      <w:bookmarkEnd w:id="317"/>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计入当期非经常性损益的金额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无需支付的款项</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62,425.04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62,425.04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70,521.47</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337,253.79</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70,521.47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132,946.51</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337,253.79</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132,946.51</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计入当期损益的政府补助：</w:t>
      </w:r>
    </w:p>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18" w:name="_Toc989200"/>
      <w:r>
        <w:rPr>
          <w:rFonts w:ascii="宋体" w:hAnsi="宋体" w:cs="宋体"/>
          <w:b/>
          <w:bCs/>
        </w:rPr>
        <w:t>49、营业外支出</w:t>
      </w:r>
      <w:bookmarkEnd w:id="318"/>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计入当期非经常性损益的金额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对外捐赠</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18,000.00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27,000.00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非流动资产毁损报废损失</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59,633.91</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320,745.66</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59,633.91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滞纳金及罚款</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3,280.50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50.21</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3,280.50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82,212.14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20,024.19</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82,212.14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163,126.55</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367,820.06</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163,126.55</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19" w:name="_Toc989201"/>
      <w:r>
        <w:rPr>
          <w:rFonts w:ascii="宋体" w:hAnsi="宋体" w:cs="宋体"/>
          <w:b/>
          <w:bCs/>
        </w:rPr>
        <w:t>50、所得税费用</w:t>
      </w:r>
      <w:bookmarkEnd w:id="319"/>
    </w:p>
    <w:p>
      <w:pPr>
        <w:keepNext/>
        <w:keepLines/>
        <w:spacing w:before="300" w:after="300" w:line="280" w:lineRule="exact"/>
        <w:outlineLvl w:val="3"/>
        <w:rPr>
          <w:rFonts w:ascii="宋体" w:hAnsi="宋体" w:eastAsia="宋体" w:cs="宋体"/>
          <w:b/>
          <w:bCs/>
          <w:szCs w:val="21"/>
        </w:rPr>
      </w:pPr>
      <w:bookmarkStart w:id="320" w:name="_Toc989202"/>
      <w:r>
        <w:rPr>
          <w:rFonts w:ascii="宋体" w:hAnsi="宋体" w:eastAsia="宋体" w:cs="宋体"/>
          <w:b/>
          <w:bCs/>
          <w:szCs w:val="21"/>
        </w:rPr>
        <w:t>（1） 所得税费用表</w:t>
      </w:r>
      <w:bookmarkEnd w:id="320"/>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当期所得税费用</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15,717,792.03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18,377,562.12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递延所得税费用</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-715,594.23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-3,208,208.39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15,002,197.80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15,169,353.73</w:t>
            </w:r>
          </w:p>
        </w:tc>
      </w:tr>
    </w:tbl>
    <w:p>
      <w:pPr>
        <w:keepNext/>
        <w:keepLines/>
        <w:spacing w:before="300" w:after="300" w:line="280" w:lineRule="exact"/>
        <w:outlineLvl w:val="3"/>
        <w:rPr>
          <w:rFonts w:ascii="宋体" w:hAnsi="宋体" w:eastAsia="宋体" w:cs="宋体"/>
          <w:b/>
          <w:bCs/>
          <w:szCs w:val="21"/>
        </w:rPr>
      </w:pPr>
      <w:bookmarkStart w:id="321" w:name="_Toc989203"/>
      <w:r>
        <w:rPr>
          <w:rFonts w:ascii="宋体" w:hAnsi="宋体" w:eastAsia="宋体" w:cs="宋体"/>
          <w:b/>
          <w:bCs/>
          <w:szCs w:val="21"/>
        </w:rPr>
        <w:t>（2） 会计利润与所得税费用调整过程</w:t>
      </w:r>
      <w:bookmarkEnd w:id="321"/>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利润总额</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248,689,214.02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按法定/适用税率计算的所得税费用</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37,303,382.10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子公司适用不同税率的影响</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2,580,546.54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调整以前期间所得税的影响</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1,284,504.71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非应税收入的影响</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-27,741,139.95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不可抵扣的成本、费用和损失的影响</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1,010,573.75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使用前期未确认递延所得税资产的可抵扣亏损的影响</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-990,663.92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本期未确认递延所得税资产的可抵扣暂时性差异或可抵扣亏损的影响</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1,554,994.57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所得税费用</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15,002,197.80</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22" w:name="_Toc989204"/>
      <w:r>
        <w:rPr>
          <w:rFonts w:ascii="宋体" w:hAnsi="宋体" w:cs="宋体"/>
          <w:b/>
          <w:bCs/>
        </w:rPr>
        <w:t>51、现金流量表项目</w:t>
      </w:r>
      <w:bookmarkEnd w:id="322"/>
    </w:p>
    <w:p>
      <w:pPr>
        <w:keepNext/>
        <w:keepLines/>
        <w:spacing w:before="300" w:after="300" w:line="280" w:lineRule="exact"/>
        <w:outlineLvl w:val="3"/>
        <w:rPr>
          <w:rFonts w:ascii="宋体" w:hAnsi="宋体" w:eastAsia="宋体" w:cs="宋体"/>
          <w:b/>
          <w:bCs/>
          <w:szCs w:val="21"/>
        </w:rPr>
      </w:pPr>
      <w:bookmarkStart w:id="323" w:name="_Toc989205"/>
      <w:r>
        <w:rPr>
          <w:rFonts w:ascii="宋体" w:hAnsi="宋体" w:eastAsia="宋体" w:cs="宋体"/>
          <w:b/>
          <w:bCs/>
          <w:szCs w:val="21"/>
        </w:rPr>
        <w:t>（1） 收到的其他与经营活动有关的现金</w:t>
      </w:r>
      <w:bookmarkEnd w:id="323"/>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利息收入</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4,699,115.98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3,191,176.00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政府补贴</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10,152,000.69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5,029,618.47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保证金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36,264,326.60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31,353,237.23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往来款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6,187,032.33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9,706,397.92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代收个税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825,839.43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1,125,435.27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108,595.17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310,467.23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58,236,910.20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50,716,332.12</w:t>
            </w:r>
          </w:p>
        </w:tc>
      </w:tr>
    </w:tbl>
    <w:p>
      <w:pPr>
        <w:spacing w:before="100" w:after="100" w:line="240" w:lineRule="exact"/>
      </w:pPr>
      <w:r>
        <w:rPr>
          <w:rFonts w:ascii="宋体" w:hAnsi="宋体" w:eastAsia="宋体" w:cs="宋体"/>
          <w:sz w:val="18"/>
          <w:szCs w:val="18"/>
        </w:rPr>
        <w:t>收到的其他与经营活动有关的现金说明：</w:t>
      </w:r>
    </w:p>
    <w:p>
      <w:pPr>
        <w:keepNext/>
        <w:keepLines/>
        <w:spacing w:before="300" w:after="300" w:line="280" w:lineRule="exact"/>
        <w:outlineLvl w:val="3"/>
        <w:rPr>
          <w:rFonts w:ascii="宋体" w:hAnsi="宋体" w:eastAsia="宋体" w:cs="宋体"/>
          <w:b/>
          <w:bCs/>
          <w:szCs w:val="21"/>
        </w:rPr>
      </w:pPr>
      <w:bookmarkStart w:id="324" w:name="_Toc989206"/>
      <w:r>
        <w:rPr>
          <w:rFonts w:ascii="宋体" w:hAnsi="宋体" w:eastAsia="宋体" w:cs="宋体"/>
          <w:b/>
          <w:bCs/>
          <w:szCs w:val="21"/>
        </w:rPr>
        <w:t>（2） 支付的其他与经营活动有关的现金</w:t>
      </w:r>
      <w:bookmarkEnd w:id="324"/>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费用付现</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80,848,960.81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80,180,499.98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保证金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38,659,678.58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31,920,438.32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往来款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14,111,855.60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15,148,134.30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银行手续费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354,298.42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416,208.95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代交个税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852,290.56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1,155,932.22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268.56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134,827,352.53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128,843,213.77</w:t>
            </w:r>
          </w:p>
        </w:tc>
      </w:tr>
    </w:tbl>
    <w:p>
      <w:pPr>
        <w:spacing w:before="100" w:after="100" w:line="240" w:lineRule="exact"/>
      </w:pPr>
      <w:r>
        <w:rPr>
          <w:rFonts w:ascii="宋体" w:hAnsi="宋体" w:eastAsia="宋体" w:cs="宋体"/>
          <w:sz w:val="18"/>
          <w:szCs w:val="18"/>
        </w:rPr>
        <w:t>支付的其他与经营活动有关的现金说明：</w:t>
      </w:r>
    </w:p>
    <w:p>
      <w:pPr>
        <w:keepNext/>
        <w:keepLines/>
        <w:spacing w:before="300" w:after="300" w:line="280" w:lineRule="exact"/>
        <w:outlineLvl w:val="3"/>
        <w:rPr>
          <w:rFonts w:ascii="宋体" w:hAnsi="宋体" w:eastAsia="宋体" w:cs="宋体"/>
          <w:b/>
          <w:bCs/>
          <w:szCs w:val="21"/>
        </w:rPr>
      </w:pPr>
      <w:bookmarkStart w:id="325" w:name="_Toc989207"/>
      <w:r>
        <w:rPr>
          <w:rFonts w:ascii="宋体" w:hAnsi="宋体" w:eastAsia="宋体" w:cs="宋体"/>
          <w:b/>
          <w:bCs/>
          <w:szCs w:val="21"/>
        </w:rPr>
        <w:t>（3） 收到的其他与投资活动有关的现金</w:t>
      </w:r>
      <w:bookmarkEnd w:id="325"/>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定期存单收回</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266,000,000.00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400,000,000.00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266,000,000.00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400,000,000.00</w:t>
            </w:r>
          </w:p>
        </w:tc>
      </w:tr>
    </w:tbl>
    <w:p>
      <w:pPr>
        <w:spacing w:before="100" w:after="100" w:line="240" w:lineRule="exact"/>
      </w:pPr>
      <w:r>
        <w:rPr>
          <w:rFonts w:ascii="宋体" w:hAnsi="宋体" w:eastAsia="宋体" w:cs="宋体"/>
          <w:sz w:val="18"/>
          <w:szCs w:val="18"/>
        </w:rPr>
        <w:t>收到的其他与投资活动有关的现金说明：</w:t>
      </w:r>
    </w:p>
    <w:p>
      <w:pPr>
        <w:keepNext/>
        <w:keepLines/>
        <w:spacing w:before="300" w:after="300" w:line="280" w:lineRule="exact"/>
        <w:outlineLvl w:val="3"/>
        <w:rPr>
          <w:rFonts w:ascii="宋体" w:hAnsi="宋体" w:eastAsia="宋体" w:cs="宋体"/>
          <w:b/>
          <w:bCs/>
          <w:szCs w:val="21"/>
        </w:rPr>
      </w:pPr>
      <w:bookmarkStart w:id="326" w:name="_Toc989208"/>
      <w:r>
        <w:rPr>
          <w:rFonts w:ascii="宋体" w:hAnsi="宋体" w:eastAsia="宋体" w:cs="宋体"/>
          <w:b/>
          <w:bCs/>
          <w:szCs w:val="21"/>
        </w:rPr>
        <w:t>（4） 支付的其他与投资活动有关的现金</w:t>
      </w:r>
      <w:bookmarkEnd w:id="326"/>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定期存单</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116,500,000.00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266,000,000.00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116,500,000.00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266,000,000.00</w:t>
            </w:r>
          </w:p>
        </w:tc>
      </w:tr>
    </w:tbl>
    <w:p>
      <w:pPr>
        <w:spacing w:before="100" w:after="100" w:line="240" w:lineRule="exact"/>
      </w:pPr>
      <w:r>
        <w:rPr>
          <w:rFonts w:ascii="宋体" w:hAnsi="宋体" w:eastAsia="宋体" w:cs="宋体"/>
          <w:sz w:val="18"/>
          <w:szCs w:val="18"/>
        </w:rPr>
        <w:t>支付的其他与投资活动有关的现金说明：</w:t>
      </w:r>
    </w:p>
    <w:p>
      <w:pPr>
        <w:keepNext/>
        <w:keepLines/>
        <w:spacing w:before="300" w:after="300" w:line="280" w:lineRule="exact"/>
        <w:outlineLvl w:val="3"/>
        <w:rPr>
          <w:rFonts w:ascii="宋体" w:hAnsi="宋体" w:eastAsia="宋体" w:cs="宋体"/>
          <w:b/>
          <w:bCs/>
          <w:szCs w:val="21"/>
        </w:rPr>
      </w:pPr>
      <w:bookmarkStart w:id="327" w:name="_Toc989209"/>
      <w:r>
        <w:rPr>
          <w:rFonts w:ascii="宋体" w:hAnsi="宋体" w:eastAsia="宋体" w:cs="宋体"/>
          <w:b/>
          <w:bCs/>
          <w:szCs w:val="21"/>
        </w:rPr>
        <w:t>（5） 收到的其他与筹资活动有关的现金</w:t>
      </w:r>
      <w:bookmarkEnd w:id="327"/>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收到代缴股权转让个税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26,588,724.82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26,588,724.82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spacing w:before="100" w:after="100" w:line="240" w:lineRule="exact"/>
      </w:pPr>
      <w:r>
        <w:rPr>
          <w:rFonts w:ascii="宋体" w:hAnsi="宋体" w:eastAsia="宋体" w:cs="宋体"/>
          <w:sz w:val="18"/>
          <w:szCs w:val="18"/>
        </w:rPr>
        <w:t>收到的其他与筹资活动有关的现金说明：</w:t>
      </w:r>
    </w:p>
    <w:p>
      <w:pPr>
        <w:keepNext/>
        <w:keepLines/>
        <w:spacing w:before="300" w:after="300" w:line="280" w:lineRule="exact"/>
        <w:outlineLvl w:val="3"/>
        <w:rPr>
          <w:rFonts w:ascii="宋体" w:hAnsi="宋体" w:eastAsia="宋体" w:cs="宋体"/>
          <w:b/>
          <w:bCs/>
          <w:szCs w:val="21"/>
        </w:rPr>
      </w:pPr>
      <w:bookmarkStart w:id="328" w:name="_Toc989210"/>
      <w:r>
        <w:rPr>
          <w:rFonts w:ascii="宋体" w:hAnsi="宋体" w:eastAsia="宋体" w:cs="宋体"/>
          <w:b/>
          <w:bCs/>
          <w:szCs w:val="21"/>
        </w:rPr>
        <w:t>（6） 支付的其他与筹资活动有关的现金</w:t>
      </w:r>
      <w:bookmarkEnd w:id="328"/>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租赁付款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69,600.00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支付代缴股权转让个税</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30,354,095.89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子公司归还少数股东投资款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1,481,159.91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30,423,695.89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1,481,159.91</w:t>
            </w:r>
          </w:p>
        </w:tc>
      </w:tr>
    </w:tbl>
    <w:p>
      <w:pPr>
        <w:spacing w:before="100" w:after="100" w:line="240" w:lineRule="exact"/>
      </w:pPr>
      <w:r>
        <w:rPr>
          <w:rFonts w:ascii="宋体" w:hAnsi="宋体" w:eastAsia="宋体" w:cs="宋体"/>
          <w:sz w:val="18"/>
          <w:szCs w:val="18"/>
        </w:rPr>
        <w:t>支付的其他与筹资活动有关的现金说明：</w:t>
      </w:r>
    </w:p>
    <w:p>
      <w:pPr>
        <w:pStyle w:val="4"/>
        <w:spacing w:line="280" w:lineRule="exact"/>
        <w:jc w:val="left"/>
        <w:rPr>
          <w:rFonts w:ascii="宋体" w:hAnsi="宋体" w:cs="宋体"/>
          <w:b/>
          <w:bCs/>
        </w:rPr>
      </w:pPr>
      <w:bookmarkStart w:id="329" w:name="_Toc989211"/>
      <w:r>
        <w:rPr>
          <w:rFonts w:ascii="宋体" w:hAnsi="宋体" w:cs="宋体"/>
          <w:b/>
          <w:bCs/>
        </w:rPr>
        <w:t>52、现金流量表补充资料</w:t>
      </w:r>
      <w:bookmarkEnd w:id="329"/>
    </w:p>
    <w:p>
      <w:pPr>
        <w:keepNext/>
        <w:keepLines/>
        <w:spacing w:before="300" w:after="300" w:line="280" w:lineRule="exact"/>
        <w:outlineLvl w:val="3"/>
        <w:rPr>
          <w:rFonts w:ascii="宋体" w:hAnsi="宋体" w:eastAsia="宋体" w:cs="宋体"/>
          <w:b/>
          <w:bCs/>
          <w:szCs w:val="21"/>
        </w:rPr>
      </w:pPr>
      <w:bookmarkStart w:id="330" w:name="_Toc989212"/>
      <w:r>
        <w:rPr>
          <w:rFonts w:ascii="宋体" w:hAnsi="宋体" w:eastAsia="宋体" w:cs="宋体"/>
          <w:b/>
          <w:bCs/>
          <w:szCs w:val="21"/>
        </w:rPr>
        <w:t>（1） 现金流量表补充资料</w:t>
      </w:r>
      <w:bookmarkEnd w:id="330"/>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678"/>
        <w:gridCol w:w="2693"/>
        <w:gridCol w:w="226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补充资料</w:t>
            </w:r>
          </w:p>
        </w:tc>
        <w:tc>
          <w:tcPr>
            <w:tcW w:w="269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本期金额</w:t>
            </w:r>
          </w:p>
        </w:tc>
        <w:tc>
          <w:tcPr>
            <w:tcW w:w="226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上期金额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1．将净利润调节为经营活动现金流量</w:t>
            </w:r>
          </w:p>
        </w:tc>
        <w:tc>
          <w:tcPr>
            <w:tcW w:w="269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26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净利润</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233,687,016.22</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201,754,956.95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加：资产减值准备</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27,668,243.00</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27,433,389.99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固定资产折旧、油气资产折耗、生产性生物资产折旧</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27,457,406.75</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31,659,674.53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使用权资产折旧</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57,362.40</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57,362.40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无形资产摊销</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3,805,039.86</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3,201,484.56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长期待摊费用摊销</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600,161.71</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528,484.68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处置固定资产、无形资产和其他长期资产的损失（收益以“－”号填列）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-873,026.79</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204,345.93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固定资产报废损失（收益以“－”号填列）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59,633.91</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320,745.66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公允价值变动损失（收益以“－”号填列）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-6,588,110.66</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-8,201,153.45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财务费用（收益以“－”号填列）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2,485,407.15</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57,347.50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投资损失（收益以“－”号填列）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-128,138,864.33</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-102,728,161.93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递延所得税资产减少（增加以“－”号填列）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-1,366,445.48</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-3,769,140.99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递延所得税负债增加（减少以“－”号填列）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650,851.25</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560,932.60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存货的减少（增加以“－”号填列）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-144,177,537.36</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-12,664,821.89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经营性应收项目的减少（增加以“－”号填列）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-107,989,266.13</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-27,596,312.85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经营性应付项目的增加（减少以“－”号填列）</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102,678,027.97</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-27,724,920.32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其他</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780,025.84</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780,025.84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经营活动产生的现金流量净额</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10,795,925.31</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83,874,239.21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2．不涉及现金收支的重大投资和筹资活动</w:t>
            </w:r>
          </w:p>
        </w:tc>
        <w:tc>
          <w:tcPr>
            <w:tcW w:w="269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26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债务转为资本</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一年内到期的可转换公司债券</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融资租入固定资产</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3．现金及现金等价物净变动情况：</w:t>
            </w:r>
          </w:p>
        </w:tc>
        <w:tc>
          <w:tcPr>
            <w:tcW w:w="269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26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现金的期末余额</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502,329,720.63</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419,306,242.24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减：现金的期初余额</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419,306,242.24</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310,394,886.91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加：现金等价物的期末余额</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减：现金等价物的期初余额</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67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现金及现金等价物净增加额</w:t>
            </w:r>
          </w:p>
        </w:tc>
        <w:tc>
          <w:tcPr>
            <w:tcW w:w="269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83,023,478.39</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108,911,355.33</w:t>
            </w:r>
          </w:p>
        </w:tc>
      </w:tr>
    </w:tbl>
    <w:p>
      <w:pPr>
        <w:keepNext/>
        <w:keepLines/>
        <w:spacing w:before="300" w:after="300" w:line="280" w:lineRule="exact"/>
        <w:outlineLvl w:val="3"/>
        <w:rPr>
          <w:rFonts w:ascii="宋体" w:hAnsi="宋体" w:eastAsia="宋体" w:cs="宋体"/>
          <w:b/>
          <w:bCs/>
          <w:szCs w:val="21"/>
        </w:rPr>
      </w:pPr>
      <w:bookmarkStart w:id="331" w:name="_Toc989213"/>
      <w:r>
        <w:rPr>
          <w:rFonts w:ascii="宋体" w:hAnsi="宋体" w:eastAsia="宋体" w:cs="宋体"/>
          <w:b/>
          <w:bCs/>
          <w:szCs w:val="21"/>
        </w:rPr>
        <w:t>（2） 本期支付的取得子公司的现金净额</w:t>
      </w:r>
      <w:bookmarkEnd w:id="331"/>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本期发生的企业合并于本期支付的现金或现金等价物</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214,395,700.00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其中：</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214,395,700.00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减：购买日子公司持有的现金及现金等价物</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47,613,441.23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其中：</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47,613,441.23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其中：</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取得子公司支付的现金净额</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166,782,258.77</w:t>
            </w:r>
          </w:p>
        </w:tc>
      </w:tr>
    </w:tbl>
    <w:p>
      <w:pPr>
        <w:spacing w:before="100" w:after="100" w:line="240" w:lineRule="exact"/>
      </w:pPr>
      <w:r>
        <w:rPr>
          <w:rFonts w:ascii="宋体" w:hAnsi="宋体" w:eastAsia="宋体" w:cs="宋体"/>
          <w:sz w:val="18"/>
          <w:szCs w:val="18"/>
        </w:rPr>
        <w:t>其他说明：</w:t>
      </w:r>
    </w:p>
    <w:p>
      <w:pPr>
        <w:keepNext/>
        <w:keepLines/>
        <w:spacing w:before="300" w:after="300" w:line="280" w:lineRule="exact"/>
        <w:outlineLvl w:val="3"/>
        <w:rPr>
          <w:rFonts w:ascii="宋体" w:hAnsi="宋体" w:eastAsia="宋体" w:cs="宋体"/>
          <w:b/>
          <w:bCs/>
          <w:szCs w:val="21"/>
        </w:rPr>
      </w:pPr>
      <w:bookmarkStart w:id="332" w:name="_Toc989214"/>
      <w:r>
        <w:rPr>
          <w:rFonts w:ascii="宋体" w:hAnsi="宋体" w:eastAsia="宋体" w:cs="宋体"/>
          <w:b/>
          <w:bCs/>
          <w:szCs w:val="21"/>
        </w:rPr>
        <w:t>（3） 现金和现金等价物的构成</w:t>
      </w:r>
      <w:bookmarkEnd w:id="332"/>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一、现金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502,329,720.63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419,306,242.24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可随时用于支付的银行存款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502,329,720.63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419,306,242.24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三、期末现金及现金等价物余额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502,329,720.63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419,306,242.24</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33" w:name="_Toc989215"/>
      <w:r>
        <w:rPr>
          <w:rFonts w:ascii="宋体" w:hAnsi="宋体" w:cs="宋体"/>
          <w:b/>
          <w:bCs/>
        </w:rPr>
        <w:t>53、所有权或使用权受到限制的资产</w:t>
      </w:r>
      <w:bookmarkEnd w:id="333"/>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2174"/>
        <w:gridCol w:w="425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17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期末账面价值</w:t>
            </w:r>
          </w:p>
        </w:tc>
        <w:tc>
          <w:tcPr>
            <w:tcW w:w="425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受限原因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货币资金</w:t>
            </w:r>
          </w:p>
        </w:tc>
        <w:tc>
          <w:tcPr>
            <w:tcW w:w="21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10,033,527.47</w:t>
            </w:r>
          </w:p>
        </w:tc>
        <w:tc>
          <w:tcPr>
            <w:tcW w:w="425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开立银行承兑汇票、共管账户、申请保函的保证金</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固定资产</w:t>
            </w:r>
          </w:p>
        </w:tc>
        <w:tc>
          <w:tcPr>
            <w:tcW w:w="21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29,824,337.93</w:t>
            </w:r>
          </w:p>
        </w:tc>
        <w:tc>
          <w:tcPr>
            <w:tcW w:w="425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子公司赣州天和永磁材料有限公司取得招商银行赣州分行800万元抵押借款的抵押物</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无形资产</w:t>
            </w:r>
          </w:p>
        </w:tc>
        <w:tc>
          <w:tcPr>
            <w:tcW w:w="21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6,533,242.95</w:t>
            </w:r>
          </w:p>
        </w:tc>
        <w:tc>
          <w:tcPr>
            <w:tcW w:w="425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子公司赣州天和永磁材料有限公司取得招商银行赣州分行800万元抵押借款的抵押物</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217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46,391,108.35</w:t>
            </w:r>
          </w:p>
        </w:tc>
        <w:tc>
          <w:tcPr>
            <w:tcW w:w="4252" w:type="dxa"/>
            <w:tcBorders>
              <w:top w:val="single" w:color="auto" w:sz="2" w:space="0"/>
              <w:left w:val="single" w:color="auto" w:sz="2" w:space="0"/>
              <w:bottom w:val="single" w:color="auto" w:sz="2" w:space="0"/>
              <w:right w:val="single" w:color="auto" w:sz="2" w:space="0"/>
            </w:tcBorders>
            <w:shd w:val="clear" w:color="auto" w:fill="D3D3D3"/>
            <w:vAlign w:val="center"/>
          </w:tcP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34" w:name="_Toc989216"/>
      <w:r>
        <w:rPr>
          <w:rFonts w:ascii="宋体" w:hAnsi="宋体" w:cs="宋体"/>
          <w:b/>
          <w:bCs/>
        </w:rPr>
        <w:t>54、外币货币性项目</w:t>
      </w:r>
      <w:bookmarkEnd w:id="334"/>
    </w:p>
    <w:p>
      <w:pPr>
        <w:keepNext/>
        <w:keepLines/>
        <w:spacing w:before="300" w:after="300" w:line="280" w:lineRule="exact"/>
        <w:outlineLvl w:val="3"/>
        <w:rPr>
          <w:rFonts w:ascii="宋体" w:hAnsi="宋体" w:eastAsia="宋体" w:cs="宋体"/>
          <w:b/>
          <w:bCs/>
          <w:szCs w:val="21"/>
        </w:rPr>
      </w:pPr>
      <w:bookmarkStart w:id="335" w:name="_Toc989217"/>
      <w:r>
        <w:rPr>
          <w:rFonts w:ascii="宋体" w:hAnsi="宋体" w:eastAsia="宋体" w:cs="宋体"/>
          <w:b/>
          <w:bCs/>
          <w:szCs w:val="21"/>
        </w:rPr>
        <w:t>（1） 外币货币性项目</w:t>
      </w:r>
      <w:bookmarkEnd w:id="335"/>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期末外币余额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折算汇率</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期末折算人民币余额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货币资金</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1,213,844.53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其中：美元</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174,287.76</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6.9646</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1,213,844.53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欧元</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港币</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应收账款</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34,275,887.07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其中：美元</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4,921,443.74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6.9646</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34,275,887.07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欧元</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港币</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长期借款</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其中：美元</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欧元</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540" w:firstLineChars="300"/>
              <w:rPr>
                <w:rFonts w:ascii="宋体" w:hAnsi="宋体" w:eastAsia="宋体" w:cs="宋体"/>
                <w:sz w:val="18"/>
                <w:szCs w:val="18"/>
              </w:rPr>
            </w:pPr>
            <w:r>
              <w:rPr>
                <w:rFonts w:ascii="宋体" w:hAnsi="宋体" w:eastAsia="宋体" w:cs="宋体"/>
                <w:sz w:val="18"/>
                <w:szCs w:val="18"/>
              </w:rPr>
              <w:t>港币</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spacing w:before="100" w:after="100" w:line="240" w:lineRule="exact"/>
      </w:pPr>
      <w:r>
        <w:rPr>
          <w:rFonts w:ascii="宋体" w:hAnsi="宋体" w:eastAsia="宋体" w:cs="宋体"/>
          <w:sz w:val="18"/>
          <w:szCs w:val="18"/>
        </w:rPr>
        <w:t>其他说明：</w:t>
      </w:r>
    </w:p>
    <w:p>
      <w:pPr>
        <w:keepNext/>
        <w:keepLines/>
        <w:spacing w:before="300" w:after="300" w:line="280" w:lineRule="exact"/>
        <w:outlineLvl w:val="3"/>
        <w:rPr>
          <w:rFonts w:ascii="宋体" w:hAnsi="宋体" w:eastAsia="宋体" w:cs="宋体"/>
          <w:b/>
          <w:bCs/>
          <w:szCs w:val="21"/>
        </w:rPr>
      </w:pPr>
      <w:bookmarkStart w:id="336" w:name="_Toc989218"/>
      <w:r>
        <w:rPr>
          <w:rFonts w:ascii="宋体" w:hAnsi="宋体" w:eastAsia="宋体" w:cs="宋体"/>
          <w:b/>
          <w:bCs/>
          <w:szCs w:val="21"/>
        </w:rPr>
        <w:t>（2） 境外经营实体说明，包括对于重要的境外经营实体，应披露其境外主要经营地、记账本位币及选择依据，记账本位币发生变化的还应披露原因。</w:t>
      </w:r>
      <w:bookmarkEnd w:id="336"/>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pStyle w:val="4"/>
        <w:spacing w:line="280" w:lineRule="exact"/>
        <w:jc w:val="left"/>
        <w:rPr>
          <w:rFonts w:ascii="宋体" w:hAnsi="宋体" w:cs="宋体"/>
          <w:b/>
          <w:bCs/>
        </w:rPr>
      </w:pPr>
      <w:bookmarkStart w:id="337" w:name="_Toc989219"/>
      <w:r>
        <w:rPr>
          <w:rFonts w:ascii="宋体" w:hAnsi="宋体" w:cs="宋体"/>
          <w:b/>
          <w:bCs/>
        </w:rPr>
        <w:t>55、政府补助</w:t>
      </w:r>
      <w:bookmarkEnd w:id="337"/>
    </w:p>
    <w:p>
      <w:pPr>
        <w:keepNext/>
        <w:keepLines/>
        <w:spacing w:before="300" w:after="300" w:line="280" w:lineRule="exact"/>
        <w:outlineLvl w:val="3"/>
        <w:rPr>
          <w:rFonts w:ascii="宋体" w:hAnsi="宋体" w:eastAsia="宋体" w:cs="宋体"/>
          <w:b/>
          <w:bCs/>
          <w:szCs w:val="21"/>
        </w:rPr>
      </w:pPr>
      <w:bookmarkStart w:id="338" w:name="_Toc989220"/>
      <w:r>
        <w:rPr>
          <w:rFonts w:ascii="宋体" w:hAnsi="宋体" w:eastAsia="宋体" w:cs="宋体"/>
          <w:b/>
          <w:bCs/>
          <w:szCs w:val="21"/>
        </w:rPr>
        <w:t>（1） 政府补助基本情况</w:t>
      </w:r>
      <w:bookmarkEnd w:id="338"/>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种类</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列报项目</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计入当期损益的金额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一、与资产相关的政府补助</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递延收益摊销</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2,468,948.00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递延收益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2,468,948.00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二、与收益相关的政府补助</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增值税即征即退</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21,812,322.24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21,812,322.24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矿产品扶持奖励</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5,126,441.21</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5,126,441.21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税收及出口补贴</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1,517,800.00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1,517,800.00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人力资源补助</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1,046,265.98</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1,046,265.98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扶持奖励资金</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846,339.50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846,339.50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科技创新、科技进步奖励</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679,000.00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679,000.00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专利等知识产权奖励</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639,200.00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639,200.00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水资源保护费等</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42,356.00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42,356.00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545,022.83</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其他收益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545,022.83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34,723,695.76</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34,723,695.76</w:t>
            </w:r>
          </w:p>
        </w:tc>
      </w:tr>
    </w:tbl>
    <w:p>
      <w:pPr>
        <w:keepNext/>
        <w:keepLines/>
        <w:spacing w:before="300" w:after="300" w:line="280" w:lineRule="exact"/>
        <w:outlineLvl w:val="3"/>
        <w:rPr>
          <w:rFonts w:ascii="宋体" w:hAnsi="宋体" w:eastAsia="宋体" w:cs="宋体"/>
          <w:b/>
          <w:bCs/>
          <w:szCs w:val="21"/>
        </w:rPr>
      </w:pPr>
      <w:bookmarkStart w:id="339" w:name="_Toc989221"/>
      <w:r>
        <w:rPr>
          <w:rFonts w:ascii="宋体" w:hAnsi="宋体" w:eastAsia="宋体" w:cs="宋体"/>
          <w:b/>
          <w:bCs/>
          <w:szCs w:val="21"/>
        </w:rPr>
        <w:t>（2） 政府补助退回情况</w:t>
      </w:r>
      <w:bookmarkEnd w:id="339"/>
    </w:p>
    <w:p>
      <w:pPr>
        <w:spacing w:before="40" w:after="4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spacing w:before="100" w:after="100" w:line="240" w:lineRule="exact"/>
      </w:pPr>
      <w:r>
        <w:rPr>
          <w:rFonts w:ascii="宋体" w:hAnsi="宋体" w:eastAsia="宋体" w:cs="宋体"/>
          <w:sz w:val="18"/>
          <w:szCs w:val="18"/>
        </w:rPr>
        <w:t>其他说明：</w:t>
      </w:r>
    </w:p>
    <w:p>
      <w:pPr>
        <w:pStyle w:val="3"/>
        <w:spacing w:before="300" w:after="300" w:line="320" w:lineRule="exact"/>
        <w:rPr>
          <w:rFonts w:ascii="宋体" w:hAnsi="宋体" w:eastAsia="宋体" w:cs="宋体"/>
          <w:b/>
          <w:bCs/>
          <w:sz w:val="24"/>
          <w:szCs w:val="24"/>
        </w:rPr>
      </w:pPr>
      <w:bookmarkStart w:id="340" w:name="_Toc989222"/>
      <w:r>
        <w:rPr>
          <w:rFonts w:ascii="宋体" w:hAnsi="宋体" w:eastAsia="宋体" w:cs="宋体"/>
          <w:b/>
          <w:bCs/>
          <w:sz w:val="24"/>
          <w:szCs w:val="24"/>
        </w:rPr>
        <w:t>八、合并范围的变更</w:t>
      </w:r>
      <w:bookmarkEnd w:id="340"/>
    </w:p>
    <w:p>
      <w:pPr>
        <w:pStyle w:val="4"/>
        <w:spacing w:line="280" w:lineRule="exact"/>
        <w:jc w:val="left"/>
        <w:rPr>
          <w:rFonts w:ascii="宋体" w:hAnsi="宋体" w:cs="宋体"/>
          <w:b/>
          <w:bCs/>
        </w:rPr>
      </w:pPr>
      <w:bookmarkStart w:id="341" w:name="_Toc989223"/>
      <w:r>
        <w:rPr>
          <w:rFonts w:ascii="宋体" w:hAnsi="宋体" w:cs="宋体"/>
          <w:b/>
          <w:bCs/>
        </w:rPr>
        <w:t>1、非同一控制下企业合并</w:t>
      </w:r>
      <w:bookmarkEnd w:id="341"/>
    </w:p>
    <w:p>
      <w:pPr>
        <w:keepNext/>
        <w:keepLines/>
        <w:spacing w:before="300" w:after="300" w:line="280" w:lineRule="exact"/>
        <w:outlineLvl w:val="3"/>
        <w:rPr>
          <w:rFonts w:ascii="宋体" w:hAnsi="宋体" w:eastAsia="宋体" w:cs="宋体"/>
          <w:b/>
          <w:bCs/>
          <w:sz w:val="18"/>
          <w:szCs w:val="18"/>
        </w:rPr>
      </w:pPr>
      <w:bookmarkStart w:id="342" w:name="_Toc989224"/>
      <w:r>
        <w:rPr>
          <w:rFonts w:ascii="宋体" w:hAnsi="宋体" w:eastAsia="宋体" w:cs="宋体"/>
          <w:b/>
          <w:bCs/>
          <w:sz w:val="18"/>
          <w:szCs w:val="18"/>
        </w:rPr>
        <w:t>（1） 本期发生的非同一控制下企业合并</w:t>
      </w:r>
      <w:bookmarkEnd w:id="342"/>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71"/>
        <w:gridCol w:w="1071"/>
        <w:gridCol w:w="1071"/>
        <w:gridCol w:w="1071"/>
        <w:gridCol w:w="1071"/>
        <w:gridCol w:w="1071"/>
        <w:gridCol w:w="1071"/>
        <w:gridCol w:w="1071"/>
        <w:gridCol w:w="107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被购买方名称</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股权取得时点</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股权取得成本</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股权取得比例</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股权取得方式</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购买日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购买日的确定依据</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购买日至期末被购买方的收入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购买日至期末被购买方的净利润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2022年07月26日</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214,395,700.00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67.00%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现金</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2022年07月26日</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完成工商变更登记</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319,368,045.16</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25,593,287.62</w:t>
            </w:r>
          </w:p>
        </w:tc>
      </w:tr>
    </w:tbl>
    <w:p>
      <w:pPr>
        <w:spacing w:before="100" w:after="100" w:line="240" w:lineRule="exact"/>
      </w:pPr>
      <w:r>
        <w:rPr>
          <w:rFonts w:ascii="宋体" w:hAnsi="宋体" w:eastAsia="宋体" w:cs="宋体"/>
          <w:sz w:val="18"/>
          <w:szCs w:val="18"/>
        </w:rPr>
        <w:t>其他说明：</w:t>
      </w:r>
    </w:p>
    <w:p>
      <w:pPr>
        <w:keepNext/>
        <w:keepLines/>
        <w:spacing w:before="300" w:after="300" w:line="280" w:lineRule="exact"/>
        <w:outlineLvl w:val="3"/>
        <w:rPr>
          <w:rFonts w:ascii="宋体" w:hAnsi="宋体" w:eastAsia="宋体" w:cs="宋体"/>
          <w:b/>
          <w:bCs/>
          <w:sz w:val="18"/>
          <w:szCs w:val="18"/>
        </w:rPr>
      </w:pPr>
      <w:bookmarkStart w:id="343" w:name="_Toc989225"/>
      <w:r>
        <w:rPr>
          <w:rFonts w:ascii="宋体" w:hAnsi="宋体" w:eastAsia="宋体" w:cs="宋体"/>
          <w:b/>
          <w:bCs/>
          <w:sz w:val="18"/>
          <w:szCs w:val="18"/>
        </w:rPr>
        <w:t>（2） 合并成本及商誉</w:t>
      </w:r>
      <w:bookmarkEnd w:id="343"/>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合并成本</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赣州天和永磁材料有限公司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--现金</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214,395,700.00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--非现金资产的公允价值</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--发行或承担的债务的公允价值</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--发行的权益性证券的公允价值</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--或有对价的公允价值</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--购买日之前持有的股权于购买日的公允价值</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--其他</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合并成本合计</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214,395,700.00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减：取得的可辨认净资产公允价值份额</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47,086,449.88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商誉/合并成本小于取得的可辨认净资产公允价值份额的金额</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167,309,250.12</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合并成本公允价值的确定方法、或有对价及其变动的说明：</w:t>
      </w:r>
    </w:p>
    <w:p>
      <w:pPr>
        <w:pStyle w:val="11"/>
        <w:spacing w:before="0" w:beforeAutospacing="0" w:after="0" w:afterAutospacing="0"/>
        <w:ind w:firstLine="360"/>
      </w:pPr>
      <w:r>
        <w:rPr>
          <w:rFonts w:hint="eastAsia"/>
          <w:color w:val="000000"/>
          <w:sz w:val="18"/>
          <w:szCs w:val="18"/>
        </w:rPr>
        <w:t>以2022年4月30日赣州天和永磁材料有限公司100.00%股东权益的评估价值8,447.61万元持续计算至2022年7月26日67.00%股权对应的可辩认净资产公允价值为47,086,449.88元。</w:t>
      </w:r>
    </w:p>
    <w:p>
      <w:pPr>
        <w:spacing w:before="100" w:after="100" w:line="240" w:lineRule="exact"/>
        <w:rPr>
          <w:rFonts w:ascii="宋体" w:hAnsi="宋体" w:eastAsia="宋体" w:cs="宋体"/>
          <w:sz w:val="18"/>
          <w:szCs w:val="18"/>
        </w:rPr>
      </w:pPr>
      <w:r>
        <w:rPr>
          <w:rFonts w:ascii="宋体" w:hAnsi="宋体" w:eastAsia="宋体" w:cs="宋体"/>
          <w:sz w:val="18"/>
          <w:szCs w:val="18"/>
        </w:rPr>
        <w:t>大额商誉形成的主要原因：</w:t>
      </w:r>
    </w:p>
    <w:p>
      <w:pPr>
        <w:pStyle w:val="11"/>
        <w:spacing w:before="0" w:beforeAutospacing="0" w:after="0" w:afterAutospacing="0"/>
        <w:ind w:firstLine="360"/>
      </w:pPr>
      <w:r>
        <w:rPr>
          <w:rFonts w:hint="eastAsia"/>
          <w:color w:val="000000"/>
          <w:sz w:val="18"/>
          <w:szCs w:val="18"/>
        </w:rPr>
        <w:t>公司的合并成本214,395,700.00元与2022年7月26日赣州天和67.00%股权对应的可辩认净资产公允价值47,086,449.88元之间的差额即167,309,250.12元确定为商誉。</w:t>
      </w:r>
    </w:p>
    <w:p>
      <w:pPr>
        <w:spacing w:before="100" w:after="100" w:line="240" w:lineRule="exact"/>
      </w:pPr>
      <w:r>
        <w:rPr>
          <w:rFonts w:ascii="宋体" w:hAnsi="宋体" w:eastAsia="宋体" w:cs="宋体"/>
          <w:sz w:val="18"/>
          <w:szCs w:val="18"/>
        </w:rPr>
        <w:t>其他说明：</w:t>
      </w:r>
    </w:p>
    <w:p>
      <w:pPr>
        <w:keepNext/>
        <w:keepLines/>
        <w:spacing w:before="300" w:after="300" w:line="280" w:lineRule="exact"/>
        <w:outlineLvl w:val="3"/>
        <w:rPr>
          <w:rFonts w:ascii="宋体" w:hAnsi="宋体" w:eastAsia="宋体" w:cs="宋体"/>
          <w:b/>
          <w:bCs/>
          <w:sz w:val="18"/>
          <w:szCs w:val="18"/>
        </w:rPr>
      </w:pPr>
      <w:bookmarkStart w:id="344" w:name="_Toc989226"/>
      <w:r>
        <w:rPr>
          <w:rFonts w:ascii="宋体" w:hAnsi="宋体" w:eastAsia="宋体" w:cs="宋体"/>
          <w:b/>
          <w:bCs/>
          <w:sz w:val="18"/>
          <w:szCs w:val="18"/>
        </w:rPr>
        <w:t>（3） 被购买方于购买日可辨认资产、负债</w:t>
      </w:r>
      <w:bookmarkEnd w:id="344"/>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tc>
        <w:tc>
          <w:tcPr>
            <w:tcW w:w="6426" w:type="dxa"/>
            <w:gridSpan w:val="2"/>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赣州天和永磁材料有限公司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购买日公允价值</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购买日账面价值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258,897,666.38</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244,346,744.73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货币资金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48,413,441.23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48,413,441.23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应收款项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8,265,554.52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8,265,554.52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存货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125,103,554.19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125,103,554.19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固定资产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37,931,656.45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27,786,990.97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无形资产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10,520,118.24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6,687,568.43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其他流动资产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3,285,646.89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3,285,646.89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预付账款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20,144,789.76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20,144,789.76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其他应收款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1,479,190.17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1,479,190.17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在建工程</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1,709,268.79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1,709,268.79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长期待摊费用</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320,672.40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1,470,739.78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递延所得税资产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1,723,773.74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175,446,590.22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173,522,518.03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借款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20,046,450.12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20,046,450.12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应付款项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23,051,148.72</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23,051,148.72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递延所得税负债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1,924,072.19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应付票据</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合同负债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15,401,868.54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15,401,868.54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应付职工薪酬</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1,224,624.21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1,224,624.21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应交税费</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6,931,051.13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6,931,051.13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应付利息</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33,333.33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33,333.33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其他应付款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104,031,799.07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104,031,799.07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其他流动负债</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2,002,242.91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2,002,242.91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净资产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83,451,076.16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70,824,226.70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减：少数股东权益</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取得的净资产</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83,451,076.16</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70,824,226.70</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可辨认资产、负债公允价值的确定方法：</w:t>
      </w:r>
    </w:p>
    <w:p>
      <w:pPr>
        <w:pStyle w:val="11"/>
        <w:spacing w:before="0" w:beforeAutospacing="0" w:after="0" w:afterAutospacing="0"/>
        <w:ind w:firstLine="360"/>
      </w:pPr>
      <w:r>
        <w:rPr>
          <w:rFonts w:hint="eastAsia"/>
          <w:color w:val="000000"/>
          <w:sz w:val="18"/>
          <w:szCs w:val="18"/>
        </w:rPr>
        <w:t>以2022年4月30日赣州天和永磁材料有限公司可辨认资产、负债的评估价值为公允价值并在此基础上持续计算至购买日。</w:t>
      </w:r>
    </w:p>
    <w:p>
      <w:pPr>
        <w:spacing w:before="100" w:after="100" w:line="240" w:lineRule="exact"/>
        <w:rPr>
          <w:rFonts w:ascii="宋体" w:hAnsi="宋体" w:eastAsia="宋体" w:cs="宋体"/>
          <w:sz w:val="18"/>
          <w:szCs w:val="18"/>
        </w:rPr>
      </w:pPr>
      <w:r>
        <w:rPr>
          <w:rFonts w:ascii="宋体" w:hAnsi="宋体" w:eastAsia="宋体" w:cs="宋体"/>
          <w:sz w:val="18"/>
          <w:szCs w:val="18"/>
        </w:rPr>
        <w:t>企业合并中承担的被购买方的或有负债：</w:t>
      </w:r>
    </w:p>
    <w:p>
      <w:pPr>
        <w:rPr>
          <w:rFonts w:ascii="宋体" w:hAnsi="宋体" w:eastAsia="宋体"/>
          <w:sz w:val="18"/>
          <w:szCs w:val="18"/>
        </w:rPr>
      </w:pPr>
      <w:r>
        <w:rPr>
          <w:rFonts w:hint="eastAsia" w:ascii="宋体" w:hAnsi="宋体" w:eastAsia="宋体"/>
          <w:sz w:val="18"/>
          <w:szCs w:val="18"/>
        </w:rPr>
        <w:t>无</w:t>
      </w:r>
    </w:p>
    <w:p>
      <w:pPr>
        <w:spacing w:before="100" w:after="100" w:line="240" w:lineRule="exact"/>
      </w:pPr>
      <w:r>
        <w:rPr>
          <w:rFonts w:ascii="宋体" w:hAnsi="宋体" w:eastAsia="宋体" w:cs="宋体"/>
          <w:sz w:val="18"/>
          <w:szCs w:val="18"/>
        </w:rPr>
        <w:t>其他说明：</w:t>
      </w:r>
    </w:p>
    <w:p>
      <w:pPr>
        <w:keepNext/>
        <w:keepLines/>
        <w:spacing w:before="300" w:after="300" w:line="280" w:lineRule="exact"/>
        <w:outlineLvl w:val="3"/>
        <w:rPr>
          <w:rFonts w:ascii="宋体" w:hAnsi="宋体" w:eastAsia="宋体" w:cs="宋体"/>
          <w:b/>
          <w:bCs/>
          <w:sz w:val="18"/>
          <w:szCs w:val="18"/>
        </w:rPr>
      </w:pPr>
      <w:bookmarkStart w:id="345" w:name="_Toc989227"/>
      <w:r>
        <w:rPr>
          <w:rFonts w:ascii="宋体" w:hAnsi="宋体" w:eastAsia="宋体" w:cs="宋体"/>
          <w:b/>
          <w:bCs/>
          <w:sz w:val="18"/>
          <w:szCs w:val="18"/>
        </w:rPr>
        <w:t>（4） 购买日之前持有的股权按照公允价值重新计量产生的利得或损失</w:t>
      </w:r>
      <w:bookmarkEnd w:id="345"/>
    </w:p>
    <w:p>
      <w:pPr>
        <w:spacing w:before="100" w:after="100" w:line="240" w:lineRule="exact"/>
        <w:rPr>
          <w:rFonts w:ascii="宋体" w:hAnsi="宋体" w:eastAsia="宋体" w:cs="宋体"/>
          <w:sz w:val="18"/>
          <w:szCs w:val="18"/>
        </w:rPr>
      </w:pPr>
      <w:r>
        <w:rPr>
          <w:rFonts w:ascii="宋体" w:hAnsi="宋体" w:eastAsia="宋体" w:cs="宋体"/>
          <w:sz w:val="18"/>
          <w:szCs w:val="18"/>
        </w:rPr>
        <w:t>是否存在通过多次交易分步实现企业合并且在报告期内取得控制权的交易</w:t>
      </w:r>
    </w:p>
    <w:p>
      <w:pPr>
        <w:spacing w:line="240" w:lineRule="exact"/>
        <w:rPr>
          <w:rFonts w:ascii="宋体" w:hAnsi="宋体" w:eastAsia="宋体" w:cs="宋体"/>
          <w:sz w:val="18"/>
          <w:szCs w:val="18"/>
        </w:rPr>
      </w:pPr>
      <w:r>
        <w:rPr>
          <w:rFonts w:ascii="宋体" w:hAnsi="宋体" w:eastAsia="宋体" w:cs="宋体"/>
          <w:sz w:val="18"/>
          <w:szCs w:val="18"/>
        </w:rPr>
        <w:t xml:space="preserve">□是 </w:t>
      </w:r>
      <w:r>
        <w:rPr>
          <w:szCs w:val="24"/>
        </w:rPr>
        <w:t>√</w:t>
      </w:r>
      <w:r>
        <w:rPr>
          <w:rFonts w:ascii="宋体" w:hAnsi="宋体" w:eastAsia="宋体" w:cs="宋体"/>
          <w:sz w:val="18"/>
          <w:szCs w:val="18"/>
        </w:rPr>
        <w:t>否</w:t>
      </w:r>
    </w:p>
    <w:p>
      <w:pPr>
        <w:keepNext/>
        <w:keepLines/>
        <w:spacing w:before="300" w:after="300" w:line="280" w:lineRule="exact"/>
        <w:outlineLvl w:val="3"/>
        <w:rPr>
          <w:rFonts w:ascii="宋体" w:hAnsi="宋体" w:eastAsia="宋体" w:cs="宋体"/>
          <w:b/>
          <w:bCs/>
          <w:sz w:val="18"/>
          <w:szCs w:val="18"/>
        </w:rPr>
      </w:pPr>
      <w:bookmarkStart w:id="346" w:name="_Toc989228"/>
      <w:r>
        <w:rPr>
          <w:rFonts w:ascii="宋体" w:hAnsi="宋体" w:eastAsia="宋体" w:cs="宋体"/>
          <w:b/>
          <w:bCs/>
          <w:sz w:val="18"/>
          <w:szCs w:val="18"/>
        </w:rPr>
        <w:t>（5） 购买日或合并当期期末无法合理确定合并对价或被购买方可辨认资产、负债公允价值的相关说明</w:t>
      </w:r>
      <w:bookmarkEnd w:id="346"/>
    </w:p>
    <w:p>
      <w:pPr>
        <w:keepNext/>
        <w:keepLines/>
        <w:spacing w:before="300" w:after="300" w:line="280" w:lineRule="exact"/>
        <w:outlineLvl w:val="3"/>
      </w:pPr>
      <w:bookmarkStart w:id="347" w:name="_Toc989229"/>
      <w:r>
        <w:rPr>
          <w:rFonts w:ascii="宋体" w:hAnsi="宋体" w:eastAsia="宋体" w:cs="宋体"/>
          <w:b/>
          <w:bCs/>
          <w:sz w:val="18"/>
          <w:szCs w:val="18"/>
        </w:rPr>
        <w:t>（6） 其他说明</w:t>
      </w:r>
      <w:bookmarkEnd w:id="347"/>
    </w:p>
    <w:p>
      <w:pPr>
        <w:pStyle w:val="4"/>
        <w:spacing w:line="280" w:lineRule="exact"/>
        <w:jc w:val="left"/>
        <w:rPr>
          <w:rFonts w:ascii="宋体" w:hAnsi="宋体" w:cs="宋体"/>
          <w:b/>
          <w:bCs/>
        </w:rPr>
      </w:pPr>
      <w:bookmarkStart w:id="348" w:name="_Toc989230"/>
      <w:r>
        <w:rPr>
          <w:rFonts w:ascii="宋体" w:hAnsi="宋体" w:cs="宋体"/>
          <w:b/>
          <w:bCs/>
        </w:rPr>
        <w:t>2、处置子公司</w:t>
      </w:r>
      <w:bookmarkEnd w:id="348"/>
    </w:p>
    <w:p>
      <w:pPr>
        <w:spacing w:before="100" w:after="100" w:line="240" w:lineRule="exact"/>
        <w:rPr>
          <w:rFonts w:ascii="宋体" w:hAnsi="宋体" w:eastAsia="宋体" w:cs="宋体"/>
          <w:sz w:val="18"/>
          <w:szCs w:val="18"/>
        </w:rPr>
      </w:pPr>
      <w:r>
        <w:rPr>
          <w:rFonts w:ascii="宋体" w:hAnsi="宋体" w:eastAsia="宋体" w:cs="宋体"/>
          <w:sz w:val="18"/>
          <w:szCs w:val="18"/>
        </w:rPr>
        <w:t>是否存在单次处置对子公司投资即丧失控制权的情形</w:t>
      </w:r>
    </w:p>
    <w:p>
      <w:pPr>
        <w:spacing w:before="40" w:after="40" w:line="240" w:lineRule="exact"/>
        <w:rPr>
          <w:rFonts w:ascii="宋体" w:hAnsi="宋体" w:eastAsia="宋体" w:cs="宋体"/>
          <w:sz w:val="18"/>
          <w:szCs w:val="18"/>
        </w:rPr>
      </w:pPr>
      <w:r>
        <w:rPr>
          <w:rFonts w:ascii="宋体" w:hAnsi="宋体" w:eastAsia="宋体" w:cs="宋体"/>
          <w:sz w:val="18"/>
          <w:szCs w:val="18"/>
        </w:rPr>
        <w:t xml:space="preserve">□是 </w:t>
      </w:r>
      <w:r>
        <w:rPr>
          <w:szCs w:val="24"/>
        </w:rPr>
        <w:t>√</w:t>
      </w:r>
      <w:r>
        <w:rPr>
          <w:rFonts w:ascii="宋体" w:hAnsi="宋体" w:eastAsia="宋体" w:cs="宋体"/>
          <w:sz w:val="18"/>
          <w:szCs w:val="18"/>
        </w:rPr>
        <w:t>否</w:t>
      </w:r>
    </w:p>
    <w:p>
      <w:pPr>
        <w:spacing w:before="100" w:after="100" w:line="240" w:lineRule="exact"/>
        <w:rPr>
          <w:rFonts w:ascii="宋体" w:hAnsi="宋体" w:eastAsia="宋体" w:cs="宋体"/>
          <w:sz w:val="18"/>
          <w:szCs w:val="18"/>
        </w:rPr>
      </w:pPr>
      <w:r>
        <w:rPr>
          <w:rFonts w:ascii="宋体" w:hAnsi="宋体" w:eastAsia="宋体" w:cs="宋体"/>
          <w:sz w:val="18"/>
          <w:szCs w:val="18"/>
        </w:rPr>
        <w:t>是否存在通过多次交易分步处置对子公司投资且在本期丧失控制权的情形</w:t>
      </w:r>
    </w:p>
    <w:p>
      <w:pPr>
        <w:spacing w:before="40" w:after="40" w:line="240" w:lineRule="exact"/>
        <w:rPr>
          <w:rFonts w:ascii="宋体" w:hAnsi="宋体" w:eastAsia="宋体" w:cs="宋体"/>
          <w:sz w:val="18"/>
          <w:szCs w:val="18"/>
        </w:rPr>
      </w:pPr>
      <w:r>
        <w:rPr>
          <w:rFonts w:ascii="宋体" w:hAnsi="宋体" w:eastAsia="宋体" w:cs="宋体"/>
          <w:sz w:val="18"/>
          <w:szCs w:val="18"/>
        </w:rPr>
        <w:t xml:space="preserve">□是 </w:t>
      </w:r>
      <w:r>
        <w:rPr>
          <w:szCs w:val="24"/>
        </w:rPr>
        <w:t>√</w:t>
      </w:r>
      <w:r>
        <w:rPr>
          <w:rFonts w:ascii="宋体" w:hAnsi="宋体" w:eastAsia="宋体" w:cs="宋体"/>
          <w:sz w:val="18"/>
          <w:szCs w:val="18"/>
        </w:rPr>
        <w:t>否</w:t>
      </w:r>
    </w:p>
    <w:p>
      <w:pPr>
        <w:pStyle w:val="4"/>
        <w:spacing w:line="280" w:lineRule="exact"/>
        <w:jc w:val="left"/>
        <w:rPr>
          <w:rFonts w:ascii="宋体" w:hAnsi="宋体" w:cs="宋体"/>
          <w:b/>
          <w:bCs/>
        </w:rPr>
      </w:pPr>
      <w:bookmarkStart w:id="349" w:name="_Toc989231"/>
      <w:r>
        <w:rPr>
          <w:rFonts w:ascii="宋体" w:hAnsi="宋体" w:cs="宋体"/>
          <w:b/>
          <w:bCs/>
        </w:rPr>
        <w:t>3、其他原因的合并范围变动</w:t>
      </w:r>
      <w:bookmarkEnd w:id="349"/>
    </w:p>
    <w:p>
      <w:pPr>
        <w:spacing w:before="100" w:after="100" w:line="240" w:lineRule="exact"/>
        <w:rPr>
          <w:rFonts w:ascii="宋体" w:hAnsi="宋体" w:eastAsia="宋体" w:cs="宋体"/>
          <w:sz w:val="18"/>
          <w:szCs w:val="18"/>
        </w:rPr>
      </w:pPr>
      <w:r>
        <w:rPr>
          <w:rFonts w:ascii="宋体" w:hAnsi="宋体" w:eastAsia="宋体" w:cs="宋体"/>
          <w:sz w:val="18"/>
          <w:szCs w:val="18"/>
        </w:rPr>
        <w:t>说明其他原因导致的合并范围变动（如，新设子公司、清算子公司等）及其相关情况：</w:t>
      </w:r>
    </w:p>
    <w:p>
      <w:pPr>
        <w:pStyle w:val="11"/>
        <w:spacing w:before="120" w:beforeAutospacing="0" w:after="120" w:afterAutospacing="0" w:line="276" w:lineRule="auto"/>
        <w:ind w:firstLine="420"/>
        <w:jc w:val="both"/>
      </w:pPr>
      <w:r>
        <w:rPr>
          <w:rFonts w:hint="eastAsia"/>
          <w:color w:val="000000"/>
          <w:sz w:val="18"/>
          <w:szCs w:val="18"/>
        </w:rPr>
        <w:t>本公司于2022年10月注销控股子公司上海三川爱水科技有限公司，于2022年11月新设全资子公司赣州三川稀土有限责任公司及控股子公司赣州川宇国际贸易有限公司。</w:t>
      </w:r>
    </w:p>
    <w:p>
      <w:pPr>
        <w:pStyle w:val="3"/>
        <w:spacing w:before="300" w:after="300" w:line="320" w:lineRule="exact"/>
        <w:rPr>
          <w:rFonts w:ascii="宋体" w:hAnsi="宋体" w:eastAsia="宋体" w:cs="宋体"/>
          <w:b/>
          <w:bCs/>
          <w:sz w:val="24"/>
          <w:szCs w:val="24"/>
        </w:rPr>
      </w:pPr>
      <w:bookmarkStart w:id="350" w:name="_Toc989232"/>
      <w:r>
        <w:rPr>
          <w:rFonts w:ascii="宋体" w:hAnsi="宋体" w:eastAsia="宋体" w:cs="宋体"/>
          <w:b/>
          <w:bCs/>
          <w:sz w:val="24"/>
          <w:szCs w:val="24"/>
        </w:rPr>
        <w:t>九、在其他主体中的权益</w:t>
      </w:r>
      <w:bookmarkEnd w:id="350"/>
    </w:p>
    <w:p>
      <w:pPr>
        <w:pStyle w:val="4"/>
        <w:spacing w:line="280" w:lineRule="exact"/>
        <w:jc w:val="left"/>
        <w:rPr>
          <w:rFonts w:ascii="宋体" w:hAnsi="宋体" w:cs="宋体"/>
          <w:b/>
          <w:bCs/>
        </w:rPr>
      </w:pPr>
      <w:bookmarkStart w:id="351" w:name="_Toc989233"/>
      <w:r>
        <w:rPr>
          <w:rFonts w:ascii="宋体" w:hAnsi="宋体" w:cs="宋体"/>
          <w:b/>
          <w:bCs/>
        </w:rPr>
        <w:t>1、在子公司中的权益</w:t>
      </w:r>
      <w:bookmarkEnd w:id="351"/>
    </w:p>
    <w:p>
      <w:pPr>
        <w:keepNext/>
        <w:keepLines/>
        <w:spacing w:before="300" w:after="300" w:line="280" w:lineRule="exact"/>
        <w:outlineLvl w:val="3"/>
        <w:rPr>
          <w:rFonts w:ascii="宋体" w:hAnsi="宋体" w:eastAsia="宋体" w:cs="宋体"/>
          <w:b/>
          <w:bCs/>
          <w:sz w:val="18"/>
          <w:szCs w:val="18"/>
        </w:rPr>
      </w:pPr>
      <w:bookmarkStart w:id="352" w:name="_Toc989234"/>
      <w:r>
        <w:rPr>
          <w:rFonts w:ascii="宋体" w:hAnsi="宋体" w:eastAsia="宋体" w:cs="宋体"/>
          <w:b/>
          <w:bCs/>
          <w:sz w:val="18"/>
          <w:szCs w:val="18"/>
        </w:rPr>
        <w:t>（1） 企业集团的构成</w:t>
      </w:r>
      <w:bookmarkEnd w:id="352"/>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977"/>
        <w:gridCol w:w="851"/>
        <w:gridCol w:w="992"/>
        <w:gridCol w:w="1559"/>
        <w:gridCol w:w="992"/>
        <w:gridCol w:w="891"/>
        <w:gridCol w:w="137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子公司名称</w:t>
            </w:r>
          </w:p>
        </w:tc>
        <w:tc>
          <w:tcPr>
            <w:tcW w:w="85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主要经营地</w:t>
            </w:r>
          </w:p>
        </w:tc>
        <w:tc>
          <w:tcPr>
            <w:tcW w:w="99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注册地</w:t>
            </w:r>
          </w:p>
        </w:tc>
        <w:tc>
          <w:tcPr>
            <w:tcW w:w="1559"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业务性质</w:t>
            </w:r>
          </w:p>
        </w:tc>
        <w:tc>
          <w:tcPr>
            <w:tcW w:w="188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持股比例</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取得方式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85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99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559"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99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直接</w:t>
            </w:r>
          </w:p>
        </w:tc>
        <w:tc>
          <w:tcPr>
            <w:tcW w:w="89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间接</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上海三川金融信息服务有限公司</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上海</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上海</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互联网金融</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89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设立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山东三川水表有限公司</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临沂</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临沂</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制造</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60.00%</w:t>
            </w:r>
          </w:p>
        </w:tc>
        <w:tc>
          <w:tcPr>
            <w:tcW w:w="89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设立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鹰潭市余江区江川水务有限公司</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城市供水</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51.00%</w:t>
            </w:r>
          </w:p>
        </w:tc>
        <w:tc>
          <w:tcPr>
            <w:tcW w:w="89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设立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温岭甬岭水表有限公司</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温岭</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温岭</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制造</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51.00%</w:t>
            </w:r>
          </w:p>
        </w:tc>
        <w:tc>
          <w:tcPr>
            <w:tcW w:w="89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非同一控制下企业合并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杭州三川国德物联网科技有限公司</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杭州</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杭州</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软件开发</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51.00%</w:t>
            </w:r>
          </w:p>
        </w:tc>
        <w:tc>
          <w:tcPr>
            <w:tcW w:w="89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非同一控制下企业合并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余江县川水工程安装有限公司</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工程安装</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9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51.00%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设立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鹰潭市景川水务有限公司</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城市供水</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57.76%</w:t>
            </w:r>
          </w:p>
        </w:tc>
        <w:tc>
          <w:tcPr>
            <w:tcW w:w="89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设立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三川智慧水务研究院（杭州）有限公司</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杭州</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杭州</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信息系统集成服务</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89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设立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广西三川智慧水务有限公司</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南宁</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南宁</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销售</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51.00%</w:t>
            </w:r>
          </w:p>
        </w:tc>
        <w:tc>
          <w:tcPr>
            <w:tcW w:w="89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设立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北京三川通达智慧科技有限公司</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北京</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北京</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销售</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51.00%</w:t>
            </w:r>
          </w:p>
        </w:tc>
        <w:tc>
          <w:tcPr>
            <w:tcW w:w="89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设立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江西三川科技有限公司</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制造</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89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同一控制下企业合并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钕铁硼废料的综合回收利用</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67.00%</w:t>
            </w:r>
          </w:p>
        </w:tc>
        <w:tc>
          <w:tcPr>
            <w:tcW w:w="89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非同一控制下企业合并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赣州中顺新材料有限公司</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稀土贸易</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9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67.00%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非同一控制下企业合并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赣州三川稀土有限责任公司</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稀土产业投资</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89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设立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赣州川宇国际贸易有限公司</w:t>
            </w:r>
          </w:p>
        </w:tc>
        <w:tc>
          <w:tcPr>
            <w:tcW w:w="85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稀土贸易</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55.00%</w:t>
            </w:r>
          </w:p>
        </w:tc>
        <w:tc>
          <w:tcPr>
            <w:tcW w:w="89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设立</w:t>
            </w:r>
          </w:p>
        </w:tc>
      </w:tr>
    </w:tbl>
    <w:p>
      <w:pPr>
        <w:spacing w:before="100" w:after="100" w:line="240" w:lineRule="exact"/>
      </w:pPr>
      <w:r>
        <w:rPr>
          <w:rFonts w:ascii="宋体" w:hAnsi="宋体" w:eastAsia="宋体" w:cs="宋体"/>
          <w:sz w:val="18"/>
          <w:szCs w:val="18"/>
        </w:rPr>
        <w:t>在子公司的持股比例不同于表决权比例的说明：</w:t>
      </w:r>
      <w:r>
        <w:rPr>
          <w:rFonts w:hint="eastAsia" w:ascii="宋体" w:hAnsi="宋体" w:eastAsia="宋体" w:cs="宋体"/>
          <w:sz w:val="18"/>
          <w:szCs w:val="18"/>
        </w:rPr>
        <w:t>无</w:t>
      </w:r>
    </w:p>
    <w:p>
      <w:pPr>
        <w:spacing w:before="100" w:after="100" w:line="240" w:lineRule="exact"/>
      </w:pPr>
      <w:r>
        <w:rPr>
          <w:rFonts w:ascii="宋体" w:hAnsi="宋体" w:eastAsia="宋体" w:cs="宋体"/>
          <w:sz w:val="18"/>
          <w:szCs w:val="18"/>
        </w:rPr>
        <w:t>持有半数或以下表决权但仍控制被投资单位、以及持有半数以上表决权但不控制被投资单位的依据：</w:t>
      </w:r>
      <w:r>
        <w:rPr>
          <w:rFonts w:hint="eastAsia" w:ascii="宋体" w:hAnsi="宋体" w:eastAsia="宋体" w:cs="宋体"/>
          <w:sz w:val="18"/>
          <w:szCs w:val="18"/>
        </w:rPr>
        <w:t>无</w:t>
      </w:r>
    </w:p>
    <w:p>
      <w:pPr>
        <w:spacing w:before="100" w:after="100" w:line="240" w:lineRule="exact"/>
      </w:pPr>
      <w:r>
        <w:rPr>
          <w:rFonts w:ascii="宋体" w:hAnsi="宋体" w:eastAsia="宋体" w:cs="宋体"/>
          <w:sz w:val="18"/>
          <w:szCs w:val="18"/>
        </w:rPr>
        <w:t>对于纳入合并范围的重要的结构化主体，控制的依据：</w:t>
      </w:r>
      <w:r>
        <w:rPr>
          <w:rFonts w:hint="eastAsia" w:ascii="宋体" w:hAnsi="宋体" w:eastAsia="宋体" w:cs="宋体"/>
          <w:sz w:val="18"/>
          <w:szCs w:val="18"/>
        </w:rPr>
        <w:t>无</w:t>
      </w:r>
    </w:p>
    <w:p>
      <w:pPr>
        <w:spacing w:before="100" w:after="100" w:line="240" w:lineRule="exact"/>
      </w:pPr>
      <w:r>
        <w:rPr>
          <w:rFonts w:ascii="宋体" w:hAnsi="宋体" w:eastAsia="宋体" w:cs="宋体"/>
          <w:sz w:val="18"/>
          <w:szCs w:val="18"/>
        </w:rPr>
        <w:t>确定公司是代理人还是委托人的依据：</w:t>
      </w:r>
      <w:r>
        <w:rPr>
          <w:rFonts w:hint="eastAsia" w:ascii="宋体" w:hAnsi="宋体" w:eastAsia="宋体" w:cs="宋体"/>
          <w:sz w:val="18"/>
          <w:szCs w:val="18"/>
        </w:rPr>
        <w:t>无</w:t>
      </w:r>
    </w:p>
    <w:p>
      <w:pPr>
        <w:spacing w:before="100" w:after="100" w:line="240" w:lineRule="exact"/>
      </w:pPr>
      <w:r>
        <w:rPr>
          <w:rFonts w:ascii="宋体" w:hAnsi="宋体" w:eastAsia="宋体" w:cs="宋体"/>
          <w:sz w:val="18"/>
          <w:szCs w:val="18"/>
        </w:rPr>
        <w:t>其他说明：</w:t>
      </w:r>
    </w:p>
    <w:p>
      <w:pPr>
        <w:keepNext/>
        <w:keepLines/>
        <w:spacing w:before="300" w:after="300" w:line="280" w:lineRule="exact"/>
        <w:outlineLvl w:val="3"/>
        <w:rPr>
          <w:rFonts w:ascii="宋体" w:hAnsi="宋体" w:eastAsia="宋体" w:cs="宋体"/>
          <w:b/>
          <w:bCs/>
          <w:sz w:val="18"/>
          <w:szCs w:val="18"/>
        </w:rPr>
      </w:pPr>
      <w:bookmarkStart w:id="353" w:name="_Toc989235"/>
      <w:r>
        <w:rPr>
          <w:rFonts w:ascii="宋体" w:hAnsi="宋体" w:eastAsia="宋体" w:cs="宋体"/>
          <w:b/>
          <w:bCs/>
          <w:sz w:val="18"/>
          <w:szCs w:val="18"/>
        </w:rPr>
        <w:t>（2） 重要的非全资子公司</w:t>
      </w:r>
      <w:bookmarkEnd w:id="353"/>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835"/>
        <w:gridCol w:w="1276"/>
        <w:gridCol w:w="1843"/>
        <w:gridCol w:w="1757"/>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83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子公司名称</w:t>
            </w:r>
          </w:p>
        </w:tc>
        <w:tc>
          <w:tcPr>
            <w:tcW w:w="12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少数股东持股比例</w:t>
            </w:r>
          </w:p>
        </w:tc>
        <w:tc>
          <w:tcPr>
            <w:tcW w:w="18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本期归属于少数股东的损益</w:t>
            </w:r>
          </w:p>
        </w:tc>
        <w:tc>
          <w:tcPr>
            <w:tcW w:w="175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本期向少数股东宣告分派的股利</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期末少数股东权益余额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83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鹰潭市余江区江川水务有限公司</w:t>
            </w:r>
          </w:p>
        </w:tc>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49.00%</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8,158,164.38</w:t>
            </w:r>
          </w:p>
        </w:tc>
        <w:tc>
          <w:tcPr>
            <w:tcW w:w="175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57,488,014.93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83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w:t>
            </w:r>
          </w:p>
        </w:tc>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33.00%</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8,445,784.91</w:t>
            </w:r>
          </w:p>
        </w:tc>
        <w:tc>
          <w:tcPr>
            <w:tcW w:w="175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31,637,618.43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83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温岭甬岭水表有限公司</w:t>
            </w:r>
          </w:p>
        </w:tc>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49.00%</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3,992,602.07</w:t>
            </w:r>
          </w:p>
        </w:tc>
        <w:tc>
          <w:tcPr>
            <w:tcW w:w="175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49,369,516.33</w:t>
            </w:r>
          </w:p>
        </w:tc>
      </w:tr>
    </w:tbl>
    <w:p>
      <w:pPr>
        <w:spacing w:before="100" w:after="100" w:line="240" w:lineRule="exact"/>
      </w:pPr>
      <w:r>
        <w:rPr>
          <w:rFonts w:ascii="宋体" w:hAnsi="宋体" w:eastAsia="宋体" w:cs="宋体"/>
          <w:sz w:val="18"/>
          <w:szCs w:val="18"/>
        </w:rPr>
        <w:t>子公司少数股东的持股比例不同于表决权比例的说明：</w:t>
      </w:r>
    </w:p>
    <w:p>
      <w:pPr>
        <w:spacing w:before="100" w:after="100" w:line="240" w:lineRule="exact"/>
      </w:pPr>
      <w:r>
        <w:rPr>
          <w:rFonts w:ascii="宋体" w:hAnsi="宋体" w:eastAsia="宋体" w:cs="宋体"/>
          <w:sz w:val="18"/>
          <w:szCs w:val="18"/>
        </w:rPr>
        <w:t>其他说明：</w:t>
      </w:r>
    </w:p>
    <w:p>
      <w:pPr>
        <w:keepNext/>
        <w:keepLines/>
        <w:spacing w:before="300" w:after="300" w:line="280" w:lineRule="exact"/>
        <w:outlineLvl w:val="3"/>
        <w:rPr>
          <w:rFonts w:ascii="宋体" w:hAnsi="宋体" w:eastAsia="宋体" w:cs="宋体"/>
          <w:b/>
          <w:bCs/>
          <w:sz w:val="18"/>
          <w:szCs w:val="18"/>
        </w:rPr>
      </w:pPr>
      <w:bookmarkStart w:id="354" w:name="_Toc989236"/>
      <w:r>
        <w:rPr>
          <w:rFonts w:ascii="宋体" w:hAnsi="宋体" w:eastAsia="宋体" w:cs="宋体"/>
          <w:b/>
          <w:bCs/>
          <w:sz w:val="18"/>
          <w:szCs w:val="18"/>
        </w:rPr>
        <w:t>（3） 重要非全资子公司的主要财务信息</w:t>
      </w:r>
      <w:bookmarkEnd w:id="354"/>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41"/>
        <w:gridCol w:w="741"/>
        <w:gridCol w:w="741"/>
        <w:gridCol w:w="741"/>
        <w:gridCol w:w="741"/>
        <w:gridCol w:w="741"/>
        <w:gridCol w:w="744"/>
        <w:gridCol w:w="741"/>
        <w:gridCol w:w="741"/>
        <w:gridCol w:w="741"/>
        <w:gridCol w:w="741"/>
        <w:gridCol w:w="741"/>
        <w:gridCol w:w="74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子公司名称</w:t>
            </w:r>
          </w:p>
        </w:tc>
        <w:tc>
          <w:tcPr>
            <w:tcW w:w="4449"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449" w:type="dxa"/>
            <w:gridSpan w:val="6"/>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流动资产</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非流动资产</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资产合计</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流动负债</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非流动负债</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负债合计</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流动资产</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非流动资产</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资产合计</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流动负债</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非流动负债</w:t>
            </w:r>
          </w:p>
        </w:tc>
        <w:tc>
          <w:tcPr>
            <w:tcW w:w="74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负债合计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鹰潭市余江区江川水务有限公司</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85,834,343.97</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73,921,885.52</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159,756,229.49</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40,987,987.26</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1,445,762.76</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42,433,750.02</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71,517,690.50</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73,847,887.80</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145,365,578.30</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42,291,703.14</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2,400,710.76</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44,692,413.90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330,624,481.19</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55,690,610.12</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386,315,091.31</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163,838,092.79</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112,645,112.78</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276,483,205.57</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温岭甬岭水表有限公司</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82,259,431.49</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49,213,242.15</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131,472,673.64</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30,263,912.65</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454,646.02</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30,718,558.67</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75,103,303.59</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43,956,009.36</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119,059,312.95</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26,453,365.47</w:t>
            </w: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74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26,453,365.47</w:t>
            </w:r>
          </w:p>
        </w:tc>
      </w:tr>
    </w:tbl>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71"/>
        <w:gridCol w:w="1071"/>
        <w:gridCol w:w="1071"/>
        <w:gridCol w:w="1071"/>
        <w:gridCol w:w="1071"/>
        <w:gridCol w:w="1071"/>
        <w:gridCol w:w="1071"/>
        <w:gridCol w:w="1071"/>
        <w:gridCol w:w="107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子公司名称</w:t>
            </w:r>
          </w:p>
        </w:tc>
        <w:tc>
          <w:tcPr>
            <w:tcW w:w="4284"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4284"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这是文本内容</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净利润</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综合收益总额</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经营活动现金流量</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营业收入</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净利润</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综合收益总额</w:t>
            </w:r>
          </w:p>
        </w:tc>
        <w:tc>
          <w:tcPr>
            <w:tcW w:w="107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经营活动现金流量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鹰潭市余江区江川水务有限公司</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55,327,408.41</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16,649,315.07</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16,649,315.07</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18,419,790.81</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44,531,710.20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16,417,195.54</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16,417,195.54</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16,320,438.09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319,368,045.16</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25,593,287.62</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25,593,287.62</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-15,597,540.53</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温岭甬岭水表有限公司</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130,393,987.04</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8,148,167.49</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8,148,167.49</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14,204,166.61</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113,872,618.70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3,570,425.50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3,570,425.50</w:t>
            </w:r>
          </w:p>
        </w:tc>
        <w:tc>
          <w:tcPr>
            <w:tcW w:w="107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4,124,803.88</w:t>
            </w:r>
          </w:p>
        </w:tc>
      </w:tr>
    </w:tbl>
    <w:p>
      <w:pPr>
        <w:spacing w:before="100" w:after="100" w:line="240" w:lineRule="exact"/>
      </w:pPr>
      <w:r>
        <w:rPr>
          <w:rFonts w:ascii="宋体" w:hAnsi="宋体" w:eastAsia="宋体" w:cs="宋体"/>
          <w:sz w:val="18"/>
          <w:szCs w:val="18"/>
        </w:rPr>
        <w:t>其他说明：</w:t>
      </w:r>
    </w:p>
    <w:p>
      <w:pPr>
        <w:keepNext/>
        <w:keepLines/>
        <w:spacing w:before="300" w:after="300" w:line="280" w:lineRule="exact"/>
        <w:outlineLvl w:val="3"/>
        <w:rPr>
          <w:rFonts w:ascii="宋体" w:hAnsi="宋体" w:eastAsia="宋体" w:cs="宋体"/>
          <w:b/>
          <w:bCs/>
          <w:sz w:val="18"/>
          <w:szCs w:val="18"/>
        </w:rPr>
      </w:pPr>
      <w:bookmarkStart w:id="355" w:name="_Toc989237"/>
      <w:r>
        <w:rPr>
          <w:rFonts w:ascii="宋体" w:hAnsi="宋体" w:eastAsia="宋体" w:cs="宋体"/>
          <w:b/>
          <w:bCs/>
          <w:sz w:val="18"/>
          <w:szCs w:val="18"/>
        </w:rPr>
        <w:t>（4） 使用企业集团资产和清偿企业集团债务的重大限制</w:t>
      </w:r>
      <w:bookmarkEnd w:id="355"/>
    </w:p>
    <w:p>
      <w:pPr>
        <w:pStyle w:val="11"/>
        <w:rPr>
          <w:sz w:val="18"/>
          <w:szCs w:val="18"/>
        </w:rPr>
      </w:pPr>
      <w:r>
        <w:rPr>
          <w:rFonts w:hint="eastAsia"/>
          <w:sz w:val="18"/>
          <w:szCs w:val="18"/>
        </w:rPr>
        <w:t>无</w:t>
      </w:r>
    </w:p>
    <w:p>
      <w:pPr>
        <w:keepNext/>
        <w:keepLines/>
        <w:spacing w:before="300" w:after="300" w:line="280" w:lineRule="exact"/>
        <w:outlineLvl w:val="3"/>
        <w:rPr>
          <w:rFonts w:ascii="宋体" w:hAnsi="宋体" w:eastAsia="宋体" w:cs="宋体"/>
          <w:b/>
          <w:bCs/>
          <w:sz w:val="18"/>
          <w:szCs w:val="18"/>
        </w:rPr>
      </w:pPr>
      <w:bookmarkStart w:id="356" w:name="_Toc989238"/>
      <w:r>
        <w:rPr>
          <w:rFonts w:ascii="宋体" w:hAnsi="宋体" w:eastAsia="宋体" w:cs="宋体"/>
          <w:b/>
          <w:bCs/>
          <w:sz w:val="18"/>
          <w:szCs w:val="18"/>
        </w:rPr>
        <w:t>（5） 向纳入合并财务报表范围的结构化主体提供的财务支持或其他支持</w:t>
      </w:r>
      <w:bookmarkEnd w:id="356"/>
    </w:p>
    <w:p>
      <w:pPr>
        <w:pStyle w:val="11"/>
        <w:rPr>
          <w:sz w:val="18"/>
          <w:szCs w:val="18"/>
        </w:rPr>
      </w:pPr>
      <w:r>
        <w:rPr>
          <w:rFonts w:hint="eastAsia"/>
          <w:sz w:val="18"/>
          <w:szCs w:val="18"/>
        </w:rPr>
        <w:t>无</w:t>
      </w:r>
    </w:p>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57" w:name="_Toc989239"/>
      <w:r>
        <w:rPr>
          <w:rFonts w:ascii="宋体" w:hAnsi="宋体" w:cs="宋体"/>
          <w:b/>
          <w:bCs/>
        </w:rPr>
        <w:t>2、在子公司的所有者权益份额发生变化且仍控制子公司的交易</w:t>
      </w:r>
      <w:bookmarkEnd w:id="357"/>
    </w:p>
    <w:p>
      <w:pPr>
        <w:keepNext/>
        <w:keepLines/>
        <w:spacing w:before="300" w:after="300" w:line="280" w:lineRule="exact"/>
        <w:outlineLvl w:val="3"/>
        <w:rPr>
          <w:rFonts w:ascii="宋体" w:hAnsi="宋体" w:eastAsia="宋体" w:cs="宋体"/>
          <w:b/>
          <w:bCs/>
          <w:sz w:val="18"/>
          <w:szCs w:val="18"/>
        </w:rPr>
      </w:pPr>
      <w:bookmarkStart w:id="358" w:name="_Toc989240"/>
      <w:r>
        <w:rPr>
          <w:rFonts w:ascii="宋体" w:hAnsi="宋体" w:eastAsia="宋体" w:cs="宋体"/>
          <w:b/>
          <w:bCs/>
          <w:sz w:val="18"/>
          <w:szCs w:val="18"/>
        </w:rPr>
        <w:t>（1） 在子公司所有者权益份额发生变化的情况说明</w:t>
      </w:r>
      <w:bookmarkEnd w:id="358"/>
    </w:p>
    <w:p>
      <w:pPr>
        <w:pStyle w:val="11"/>
        <w:spacing w:before="0" w:beforeAutospacing="0" w:after="0" w:afterAutospacing="0"/>
        <w:rPr>
          <w:rFonts w:ascii="等线" w:hAnsi="等线" w:eastAsia="等线"/>
          <w:sz w:val="21"/>
          <w:szCs w:val="21"/>
        </w:rPr>
      </w:pPr>
      <w:r>
        <w:rPr>
          <w:rFonts w:hint="eastAsia"/>
          <w:sz w:val="18"/>
          <w:szCs w:val="18"/>
        </w:rPr>
        <w:t>不适用</w:t>
      </w:r>
    </w:p>
    <w:p>
      <w:pPr>
        <w:keepNext/>
        <w:keepLines/>
        <w:spacing w:before="300" w:after="300" w:line="280" w:lineRule="exact"/>
        <w:outlineLvl w:val="3"/>
        <w:rPr>
          <w:rFonts w:ascii="宋体" w:hAnsi="宋体" w:eastAsia="宋体" w:cs="宋体"/>
          <w:b/>
          <w:bCs/>
          <w:sz w:val="18"/>
          <w:szCs w:val="18"/>
        </w:rPr>
      </w:pPr>
      <w:bookmarkStart w:id="359" w:name="_Toc989241"/>
      <w:r>
        <w:rPr>
          <w:rFonts w:ascii="宋体" w:hAnsi="宋体" w:eastAsia="宋体" w:cs="宋体"/>
          <w:b/>
          <w:bCs/>
          <w:sz w:val="18"/>
          <w:szCs w:val="18"/>
        </w:rPr>
        <w:t>（2） 交易对于少数股东权益及归属于母公司所有者权益的影响</w:t>
      </w:r>
      <w:bookmarkEnd w:id="359"/>
    </w:p>
    <w:p>
      <w:pPr>
        <w:spacing w:before="100" w:after="100" w:line="240" w:lineRule="exact"/>
        <w:rPr>
          <w:rFonts w:ascii="宋体" w:hAnsi="宋体" w:eastAsia="宋体" w:cs="宋体"/>
          <w:sz w:val="18"/>
          <w:szCs w:val="18"/>
        </w:rPr>
      </w:pPr>
      <w:r>
        <w:rPr>
          <w:rFonts w:hint="eastAsia" w:ascii="宋体" w:hAnsi="宋体" w:eastAsia="宋体" w:cs="宋体"/>
          <w:sz w:val="18"/>
          <w:szCs w:val="18"/>
        </w:rPr>
        <w:t>不适用</w:t>
      </w:r>
    </w:p>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60" w:name="_Toc989242"/>
      <w:r>
        <w:rPr>
          <w:rFonts w:ascii="宋体" w:hAnsi="宋体" w:cs="宋体"/>
          <w:b/>
          <w:bCs/>
        </w:rPr>
        <w:t>3、在合营安排或联营企业中的权益</w:t>
      </w:r>
      <w:bookmarkEnd w:id="360"/>
    </w:p>
    <w:p>
      <w:pPr>
        <w:keepNext/>
        <w:keepLines/>
        <w:spacing w:before="300" w:after="300" w:line="280" w:lineRule="exact"/>
        <w:outlineLvl w:val="3"/>
        <w:rPr>
          <w:rFonts w:ascii="宋体" w:hAnsi="宋体" w:eastAsia="宋体" w:cs="宋体"/>
          <w:b/>
          <w:bCs/>
          <w:szCs w:val="21"/>
        </w:rPr>
      </w:pPr>
      <w:bookmarkStart w:id="361" w:name="_Toc989243"/>
      <w:r>
        <w:rPr>
          <w:rFonts w:ascii="宋体" w:hAnsi="宋体" w:eastAsia="宋体" w:cs="宋体"/>
          <w:b/>
          <w:bCs/>
          <w:szCs w:val="21"/>
        </w:rPr>
        <w:t>（1） 重要的合营企业或联营企业</w:t>
      </w:r>
      <w:bookmarkEnd w:id="361"/>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合营企业或联营企业名称</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主要经营地</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注册地</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业务性质</w:t>
            </w:r>
          </w:p>
        </w:tc>
        <w:tc>
          <w:tcPr>
            <w:tcW w:w="2754"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持股比例</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对合营企业或联营企业投资的会计处理方法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这是文本内容</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这是文本内容</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这是文本内容</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这是文本内容</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直接</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间接</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这是文本内容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鹰潭市三川实业发展有限公司</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实业投资</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46.00%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权益法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鹰潭市供水集团有限公司</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城市供水</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46.00%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权益法</w:t>
            </w:r>
          </w:p>
        </w:tc>
      </w:tr>
    </w:tbl>
    <w:p>
      <w:pPr>
        <w:spacing w:before="100" w:after="100" w:line="240" w:lineRule="exact"/>
      </w:pPr>
      <w:r>
        <w:rPr>
          <w:rFonts w:ascii="宋体" w:hAnsi="宋体" w:eastAsia="宋体" w:cs="宋体"/>
          <w:sz w:val="18"/>
          <w:szCs w:val="18"/>
        </w:rPr>
        <w:t>在合营企业或联营企业的持股比例不同于表决权比例的说明：</w:t>
      </w:r>
    </w:p>
    <w:p>
      <w:pPr>
        <w:spacing w:before="100" w:after="100" w:line="240" w:lineRule="exact"/>
      </w:pPr>
      <w:r>
        <w:rPr>
          <w:rFonts w:ascii="宋体" w:hAnsi="宋体" w:eastAsia="宋体" w:cs="宋体"/>
          <w:sz w:val="18"/>
          <w:szCs w:val="18"/>
        </w:rPr>
        <w:t>持有20%以下表决权但具有重大影响，或者持有20%或以上表决权但不具有重大影响的依据：</w:t>
      </w:r>
    </w:p>
    <w:p>
      <w:pPr>
        <w:keepNext/>
        <w:keepLines/>
        <w:spacing w:before="300" w:after="300" w:line="280" w:lineRule="exact"/>
        <w:outlineLvl w:val="3"/>
        <w:rPr>
          <w:rFonts w:ascii="宋体" w:hAnsi="宋体" w:eastAsia="宋体" w:cs="宋体"/>
          <w:b/>
          <w:bCs/>
          <w:szCs w:val="21"/>
        </w:rPr>
      </w:pPr>
      <w:bookmarkStart w:id="362" w:name="_Toc989244"/>
      <w:r>
        <w:rPr>
          <w:rFonts w:ascii="宋体" w:hAnsi="宋体" w:eastAsia="宋体" w:cs="宋体"/>
          <w:b/>
          <w:bCs/>
          <w:szCs w:val="21"/>
        </w:rPr>
        <w:t>（2） 重要联营企业的主要财务信息</w:t>
      </w:r>
      <w:bookmarkEnd w:id="362"/>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127"/>
        <w:gridCol w:w="17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tc>
        <w:tc>
          <w:tcPr>
            <w:tcW w:w="36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期末余额/本期发生额</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鹰潭市三川实业发展有限公司</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鹰潭市供水集团有限公司</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鹰潭市三川实业发展有限公司</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鹰潭市供水集团有限公司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流动资产</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1,790,292,207.77</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75,320,440.80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2,151,224,639.08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非流动资产</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68,932,925.00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190,981,891.07</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273,323,896.11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资产合计</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1,859,225,132.77</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266,302,331.87</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2,424,548,535.19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流动负债</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1,343,498,633.39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34,114,677.21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1,737,053,476.84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非流动负债</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18,373,700.00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73,958,979.20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91,330,220.44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负债合计</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1,361,872,333.39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108,073,656.41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1,828,383,697.28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少数股东权益</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36,979,332.06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-377,132.64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归属于母公司股东权益</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460,373,467.32</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158,228,675.46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596,541,970.54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按持股比例计算的净资产份额</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211,771,794.97</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72,785,190.71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274,409,306.45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调整事项</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--商誉</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--内部交易未实现利润</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--其他</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对联营企业权益投资的账面价值</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227,038,939.88</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85,818,157.90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302,709,418.55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存在公开报价的联营企业权益投资的公允价值</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营业收入</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1,003,775,348.90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383,867,813.83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530,705,782.66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净利润</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194,290,929.97</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62,712,663.51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151,110,854.95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终止经营的净利润</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其他综合收益</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综合收益总额</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194,290,929.97</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62,712,663.51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151,110,854.95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本年度收到的来自联营企业的股利</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92,000,000.00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spacing w:before="100" w:after="100" w:line="240" w:lineRule="exact"/>
      </w:pPr>
      <w:r>
        <w:rPr>
          <w:rFonts w:ascii="宋体" w:hAnsi="宋体" w:eastAsia="宋体" w:cs="宋体"/>
          <w:sz w:val="18"/>
          <w:szCs w:val="18"/>
        </w:rPr>
        <w:t>其他说明：</w:t>
      </w:r>
    </w:p>
    <w:p>
      <w:pPr>
        <w:keepNext/>
        <w:keepLines/>
        <w:spacing w:before="300" w:after="300" w:line="280" w:lineRule="exact"/>
        <w:outlineLvl w:val="3"/>
        <w:rPr>
          <w:rFonts w:ascii="宋体" w:hAnsi="宋体" w:eastAsia="宋体" w:cs="宋体"/>
          <w:b/>
          <w:bCs/>
          <w:szCs w:val="21"/>
        </w:rPr>
      </w:pPr>
      <w:bookmarkStart w:id="363" w:name="_Toc989245"/>
      <w:r>
        <w:rPr>
          <w:rFonts w:ascii="宋体" w:hAnsi="宋体" w:eastAsia="宋体" w:cs="宋体"/>
          <w:b/>
          <w:bCs/>
          <w:szCs w:val="21"/>
        </w:rPr>
        <w:t>（3） 不重要的合营企业和联营企业的汇总财务信息</w:t>
      </w:r>
      <w:bookmarkEnd w:id="363"/>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合营企业：</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下列各项按持股比例计算的合计数</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联营企业：</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投资账面价值合计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178,966,086.67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151,378,559.49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下列各项按持股比例计算的合计数</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--净利润</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17,711,700.51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16,035,394.30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--综合收益总额</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17,711,700.51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16,035,394.30</w:t>
            </w:r>
          </w:p>
        </w:tc>
      </w:tr>
    </w:tbl>
    <w:p>
      <w:pPr>
        <w:spacing w:before="100" w:after="100" w:line="240" w:lineRule="exact"/>
      </w:pPr>
      <w:r>
        <w:rPr>
          <w:rFonts w:ascii="宋体" w:hAnsi="宋体" w:eastAsia="宋体" w:cs="宋体"/>
          <w:sz w:val="18"/>
          <w:szCs w:val="18"/>
        </w:rPr>
        <w:t>其他说明：</w:t>
      </w:r>
    </w:p>
    <w:p>
      <w:pPr>
        <w:keepNext/>
        <w:keepLines/>
        <w:spacing w:before="300" w:after="300" w:line="280" w:lineRule="exact"/>
        <w:outlineLvl w:val="3"/>
        <w:rPr>
          <w:rFonts w:ascii="宋体" w:hAnsi="宋体" w:eastAsia="宋体" w:cs="宋体"/>
          <w:b/>
          <w:bCs/>
          <w:szCs w:val="21"/>
        </w:rPr>
      </w:pPr>
      <w:bookmarkStart w:id="364" w:name="_Toc989246"/>
      <w:r>
        <w:rPr>
          <w:rFonts w:ascii="宋体" w:hAnsi="宋体" w:eastAsia="宋体" w:cs="宋体"/>
          <w:b/>
          <w:bCs/>
          <w:szCs w:val="21"/>
        </w:rPr>
        <w:t>（4） 合营企业或联营企业向本公司转移资金的能力存在重大限制的说明</w:t>
      </w:r>
      <w:bookmarkEnd w:id="364"/>
    </w:p>
    <w:p>
      <w:pPr>
        <w:pStyle w:val="11"/>
        <w:rPr>
          <w:sz w:val="18"/>
          <w:szCs w:val="18"/>
        </w:rPr>
      </w:pPr>
      <w:r>
        <w:rPr>
          <w:rFonts w:hint="eastAsia"/>
          <w:sz w:val="18"/>
          <w:szCs w:val="18"/>
        </w:rPr>
        <w:t>无</w:t>
      </w:r>
    </w:p>
    <w:p>
      <w:pPr>
        <w:keepNext/>
        <w:keepLines/>
        <w:spacing w:before="300" w:after="300" w:line="280" w:lineRule="exact"/>
        <w:outlineLvl w:val="3"/>
        <w:rPr>
          <w:rFonts w:ascii="宋体" w:hAnsi="宋体" w:eastAsia="宋体" w:cs="宋体"/>
          <w:b/>
          <w:bCs/>
          <w:szCs w:val="21"/>
        </w:rPr>
      </w:pPr>
      <w:bookmarkStart w:id="365" w:name="_Toc989247"/>
      <w:r>
        <w:rPr>
          <w:rFonts w:ascii="宋体" w:hAnsi="宋体" w:eastAsia="宋体" w:cs="宋体"/>
          <w:b/>
          <w:bCs/>
          <w:szCs w:val="21"/>
        </w:rPr>
        <w:t>（5） 合营企业或联营企业发生的超额亏损</w:t>
      </w:r>
      <w:bookmarkEnd w:id="365"/>
    </w:p>
    <w:p>
      <w:pPr>
        <w:spacing w:before="100" w:after="100" w:line="240" w:lineRule="exact"/>
      </w:pPr>
      <w:r>
        <w:rPr>
          <w:rFonts w:ascii="宋体" w:hAnsi="宋体" w:eastAsia="宋体" w:cs="宋体"/>
          <w:sz w:val="18"/>
          <w:szCs w:val="18"/>
        </w:rPr>
        <w:t>其他说明：</w:t>
      </w:r>
    </w:p>
    <w:p>
      <w:pPr>
        <w:keepNext/>
        <w:keepLines/>
        <w:spacing w:before="300" w:after="300" w:line="280" w:lineRule="exact"/>
        <w:outlineLvl w:val="3"/>
        <w:rPr>
          <w:rFonts w:ascii="宋体" w:hAnsi="宋体" w:eastAsia="宋体" w:cs="宋体"/>
          <w:b/>
          <w:bCs/>
          <w:szCs w:val="21"/>
        </w:rPr>
      </w:pPr>
      <w:bookmarkStart w:id="366" w:name="_Toc989248"/>
      <w:r>
        <w:rPr>
          <w:rFonts w:ascii="宋体" w:hAnsi="宋体" w:eastAsia="宋体" w:cs="宋体"/>
          <w:b/>
          <w:bCs/>
          <w:szCs w:val="21"/>
        </w:rPr>
        <w:t>（6） 与合营企业投资相关的未确认承诺</w:t>
      </w:r>
      <w:bookmarkEnd w:id="366"/>
    </w:p>
    <w:p>
      <w:pPr>
        <w:pStyle w:val="11"/>
        <w:rPr>
          <w:sz w:val="18"/>
          <w:szCs w:val="18"/>
        </w:rPr>
      </w:pPr>
      <w:r>
        <w:rPr>
          <w:rFonts w:hint="eastAsia"/>
          <w:sz w:val="18"/>
          <w:szCs w:val="18"/>
        </w:rPr>
        <w:t>无</w:t>
      </w:r>
    </w:p>
    <w:p>
      <w:pPr>
        <w:keepNext/>
        <w:keepLines/>
        <w:spacing w:before="300" w:after="300" w:line="280" w:lineRule="exact"/>
        <w:outlineLvl w:val="3"/>
        <w:rPr>
          <w:rFonts w:ascii="宋体" w:hAnsi="宋体" w:eastAsia="宋体" w:cs="宋体"/>
          <w:b/>
          <w:bCs/>
          <w:szCs w:val="21"/>
        </w:rPr>
      </w:pPr>
      <w:bookmarkStart w:id="367" w:name="_Toc989249"/>
      <w:r>
        <w:rPr>
          <w:rFonts w:ascii="宋体" w:hAnsi="宋体" w:eastAsia="宋体" w:cs="宋体"/>
          <w:b/>
          <w:bCs/>
          <w:szCs w:val="21"/>
        </w:rPr>
        <w:t>（7） 与合营企业或联营企业投资相关的或有负债</w:t>
      </w:r>
      <w:bookmarkEnd w:id="367"/>
    </w:p>
    <w:p>
      <w:pPr>
        <w:pStyle w:val="11"/>
        <w:rPr>
          <w:sz w:val="18"/>
          <w:szCs w:val="18"/>
        </w:rPr>
      </w:pPr>
      <w:r>
        <w:rPr>
          <w:rFonts w:hint="eastAsia"/>
          <w:sz w:val="18"/>
          <w:szCs w:val="18"/>
        </w:rPr>
        <w:t>无</w:t>
      </w:r>
    </w:p>
    <w:p>
      <w:pPr>
        <w:pStyle w:val="4"/>
        <w:spacing w:line="280" w:lineRule="exact"/>
        <w:jc w:val="left"/>
        <w:rPr>
          <w:rFonts w:ascii="宋体" w:hAnsi="宋体" w:cs="宋体"/>
          <w:b/>
          <w:bCs/>
        </w:rPr>
      </w:pPr>
      <w:bookmarkStart w:id="368" w:name="_Toc989250"/>
      <w:r>
        <w:rPr>
          <w:rFonts w:ascii="宋体" w:hAnsi="宋体" w:cs="宋体"/>
          <w:b/>
          <w:bCs/>
        </w:rPr>
        <w:t>4、重要的共同经营</w:t>
      </w:r>
      <w:bookmarkEnd w:id="368"/>
    </w:p>
    <w:p>
      <w:pPr>
        <w:rPr>
          <w:rFonts w:ascii="宋体" w:hAnsi="宋体" w:eastAsia="宋体"/>
          <w:sz w:val="18"/>
          <w:szCs w:val="18"/>
        </w:rPr>
      </w:pPr>
      <w:r>
        <w:rPr>
          <w:rFonts w:hint="eastAsia" w:ascii="宋体" w:hAnsi="宋体" w:eastAsia="宋体"/>
          <w:sz w:val="18"/>
          <w:szCs w:val="18"/>
        </w:rPr>
        <w:t>无</w:t>
      </w:r>
    </w:p>
    <w:p>
      <w:pPr>
        <w:pStyle w:val="4"/>
        <w:spacing w:line="280" w:lineRule="exact"/>
        <w:jc w:val="left"/>
        <w:rPr>
          <w:rFonts w:ascii="宋体" w:hAnsi="宋体" w:cs="宋体"/>
          <w:b/>
          <w:bCs/>
        </w:rPr>
      </w:pPr>
      <w:bookmarkStart w:id="369" w:name="_Toc989251"/>
      <w:r>
        <w:rPr>
          <w:rFonts w:ascii="宋体" w:hAnsi="宋体" w:cs="宋体"/>
          <w:b/>
          <w:bCs/>
        </w:rPr>
        <w:t>5、在未纳入合并财务报表范围的结构化主体中的权益</w:t>
      </w:r>
      <w:bookmarkEnd w:id="369"/>
    </w:p>
    <w:p>
      <w:pPr>
        <w:spacing w:before="100" w:after="100" w:line="240" w:lineRule="exact"/>
        <w:rPr>
          <w:rFonts w:ascii="宋体" w:hAnsi="宋体" w:eastAsia="宋体" w:cs="宋体"/>
          <w:sz w:val="18"/>
          <w:szCs w:val="18"/>
        </w:rPr>
      </w:pPr>
      <w:r>
        <w:rPr>
          <w:rFonts w:ascii="宋体" w:hAnsi="宋体" w:eastAsia="宋体" w:cs="宋体"/>
          <w:sz w:val="18"/>
          <w:szCs w:val="18"/>
        </w:rPr>
        <w:t>未纳入合并财务报表范围的结构化主体的相关说明：</w:t>
      </w:r>
    </w:p>
    <w:p>
      <w:pPr>
        <w:pStyle w:val="11"/>
        <w:rPr>
          <w:sz w:val="18"/>
          <w:szCs w:val="18"/>
        </w:rPr>
      </w:pPr>
      <w:r>
        <w:rPr>
          <w:rFonts w:hint="eastAsia"/>
          <w:sz w:val="18"/>
          <w:szCs w:val="18"/>
        </w:rPr>
        <w:t>无</w:t>
      </w:r>
    </w:p>
    <w:p>
      <w:pPr>
        <w:pStyle w:val="3"/>
        <w:spacing w:before="300" w:after="300" w:line="320" w:lineRule="exact"/>
        <w:rPr>
          <w:rFonts w:ascii="宋体" w:hAnsi="宋体" w:eastAsia="宋体" w:cs="宋体"/>
          <w:b/>
          <w:bCs/>
          <w:sz w:val="24"/>
          <w:szCs w:val="24"/>
        </w:rPr>
      </w:pPr>
      <w:bookmarkStart w:id="370" w:name="_Toc989252"/>
      <w:r>
        <w:rPr>
          <w:rFonts w:ascii="宋体" w:hAnsi="宋体" w:eastAsia="宋体" w:cs="宋体"/>
          <w:b/>
          <w:bCs/>
          <w:sz w:val="24"/>
          <w:szCs w:val="24"/>
        </w:rPr>
        <w:t>十、与金融工具相关的风险</w:t>
      </w:r>
      <w:bookmarkEnd w:id="370"/>
    </w:p>
    <w:p>
      <w:pPr>
        <w:pStyle w:val="11"/>
        <w:spacing w:before="40" w:beforeAutospacing="0" w:after="40" w:afterAutospacing="0"/>
        <w:ind w:firstLine="360"/>
        <w:rPr>
          <w:rFonts w:ascii="等线" w:hAnsi="等线" w:eastAsia="等线"/>
          <w:sz w:val="21"/>
          <w:szCs w:val="21"/>
        </w:rPr>
      </w:pPr>
      <w:r>
        <w:rPr>
          <w:rFonts w:hint="eastAsia"/>
          <w:sz w:val="18"/>
          <w:szCs w:val="18"/>
        </w:rPr>
        <w:t>本公司从事风险管理的目标是在风险和收益之间取得适当的平衡，将风险对本公司经营业绩的负面影响降低到最低水平，使股东及其其他权益投资者的利益最大化。基于该风险管理目标，本公司风险管理的基本策略是确定和分析本公司所面临的各种风险，建立适当的风险承受底线和进行风险管理，并及时可靠地对各种风险进行监督，将风险控制在限定的范围之内。</w:t>
      </w:r>
    </w:p>
    <w:p>
      <w:pPr>
        <w:pStyle w:val="11"/>
        <w:spacing w:before="40" w:beforeAutospacing="0" w:after="40" w:afterAutospacing="0"/>
        <w:ind w:firstLine="360"/>
        <w:rPr>
          <w:rFonts w:ascii="等线" w:hAnsi="等线" w:eastAsia="等线"/>
          <w:sz w:val="21"/>
          <w:szCs w:val="21"/>
        </w:rPr>
      </w:pPr>
      <w:r>
        <w:rPr>
          <w:rFonts w:hint="eastAsia"/>
          <w:sz w:val="18"/>
          <w:szCs w:val="18"/>
        </w:rPr>
        <w:t>本公司的主要金融工具包括股权投资、交易性金融资产、应收票据、应收账款、其他应收款、借款、应付账款等。本公司在日常活动中面临各种与金融工具相关的风险，主要包括信用风险、流动风险及市场风险。</w:t>
      </w:r>
    </w:p>
    <w:p>
      <w:pPr>
        <w:pStyle w:val="11"/>
        <w:spacing w:before="40" w:beforeAutospacing="0" w:after="40" w:afterAutospacing="0"/>
        <w:ind w:firstLine="361"/>
        <w:rPr>
          <w:rFonts w:ascii="等线" w:hAnsi="等线" w:eastAsia="等线"/>
          <w:sz w:val="21"/>
          <w:szCs w:val="21"/>
        </w:rPr>
      </w:pPr>
      <w:r>
        <w:rPr>
          <w:rStyle w:val="16"/>
          <w:rFonts w:hint="eastAsia"/>
          <w:sz w:val="18"/>
          <w:szCs w:val="18"/>
        </w:rPr>
        <w:t>（一）信用风险</w:t>
      </w:r>
    </w:p>
    <w:p>
      <w:pPr>
        <w:pStyle w:val="11"/>
        <w:spacing w:before="40" w:beforeAutospacing="0" w:after="40" w:afterAutospacing="0"/>
        <w:ind w:firstLine="360"/>
        <w:rPr>
          <w:rFonts w:ascii="等线" w:hAnsi="等线" w:eastAsia="等线"/>
          <w:sz w:val="21"/>
          <w:szCs w:val="21"/>
        </w:rPr>
      </w:pPr>
      <w:r>
        <w:rPr>
          <w:rFonts w:hint="eastAsia"/>
          <w:sz w:val="18"/>
          <w:szCs w:val="18"/>
        </w:rPr>
        <w:t>信用风险，是指金融工具的一方不能履行义务，造成另一方发生财务损失的风险。</w:t>
      </w:r>
    </w:p>
    <w:p>
      <w:pPr>
        <w:pStyle w:val="11"/>
        <w:spacing w:before="40" w:beforeAutospacing="0" w:after="40" w:afterAutospacing="0"/>
        <w:ind w:firstLine="361"/>
        <w:rPr>
          <w:rFonts w:ascii="等线" w:hAnsi="等线" w:eastAsia="等线"/>
          <w:sz w:val="21"/>
          <w:szCs w:val="21"/>
        </w:rPr>
      </w:pPr>
      <w:r>
        <w:rPr>
          <w:rStyle w:val="16"/>
          <w:rFonts w:hint="eastAsia"/>
          <w:sz w:val="18"/>
          <w:szCs w:val="18"/>
        </w:rPr>
        <w:t>1、信用风险管理实务</w:t>
      </w:r>
    </w:p>
    <w:p>
      <w:pPr>
        <w:pStyle w:val="11"/>
        <w:spacing w:before="40" w:beforeAutospacing="0" w:after="40" w:afterAutospacing="0"/>
        <w:ind w:firstLine="360"/>
        <w:rPr>
          <w:rFonts w:ascii="等线" w:hAnsi="等线" w:eastAsia="等线"/>
          <w:sz w:val="21"/>
          <w:szCs w:val="21"/>
        </w:rPr>
      </w:pPr>
      <w:r>
        <w:rPr>
          <w:rFonts w:hint="eastAsia"/>
          <w:sz w:val="18"/>
          <w:szCs w:val="18"/>
        </w:rPr>
        <w:t>（1）信用风险的评价方法</w:t>
      </w:r>
    </w:p>
    <w:p>
      <w:pPr>
        <w:pStyle w:val="11"/>
        <w:spacing w:before="40" w:beforeAutospacing="0" w:after="40" w:afterAutospacing="0"/>
        <w:ind w:firstLine="360"/>
        <w:rPr>
          <w:rFonts w:ascii="等线" w:hAnsi="等线" w:eastAsia="等线"/>
          <w:sz w:val="21"/>
          <w:szCs w:val="21"/>
        </w:rPr>
      </w:pPr>
      <w:r>
        <w:rPr>
          <w:rFonts w:hint="eastAsia"/>
          <w:sz w:val="18"/>
          <w:szCs w:val="18"/>
        </w:rPr>
        <w:t>公司在每个资产负债表日评估相关金融工具的信用风险自初始确认后是否已显著增加。在确定信用风险自初始确认后是否显著增加时，公司考虑在无须付出不必要的额外成本或努力即可获得合理且有依据的信息，包括基于历史数据的定性和定量分析、外部信用风险评级以及前瞻性信息。公司以单项金融工具或者具有相似信用风险特征的金融工具组合为基础，通过比较金融工具在资产负债表日发生违约的风险与在初始确认日发生违约的风险，以确定金融工具预计存续期内发生违约风险的变化情况。</w:t>
      </w:r>
    </w:p>
    <w:p>
      <w:pPr>
        <w:pStyle w:val="11"/>
        <w:spacing w:before="40" w:beforeAutospacing="0" w:after="40" w:afterAutospacing="0"/>
        <w:ind w:firstLine="360"/>
        <w:rPr>
          <w:rFonts w:ascii="等线" w:hAnsi="等线" w:eastAsia="等线"/>
          <w:sz w:val="21"/>
          <w:szCs w:val="21"/>
        </w:rPr>
      </w:pPr>
      <w:r>
        <w:rPr>
          <w:rFonts w:hint="eastAsia"/>
          <w:sz w:val="18"/>
          <w:szCs w:val="18"/>
        </w:rPr>
        <w:t>当触发以下一个或多个定量、定性标准时，公司认为金融工具的信用风险已发生显著增加：</w:t>
      </w:r>
    </w:p>
    <w:p>
      <w:pPr>
        <w:pStyle w:val="11"/>
        <w:spacing w:before="40" w:beforeAutospacing="0" w:after="40" w:afterAutospacing="0"/>
        <w:ind w:firstLine="360"/>
        <w:rPr>
          <w:rFonts w:ascii="等线" w:hAnsi="等线" w:eastAsia="等线"/>
          <w:sz w:val="21"/>
          <w:szCs w:val="21"/>
        </w:rPr>
      </w:pPr>
      <w:r>
        <w:rPr>
          <w:rFonts w:hint="eastAsia"/>
          <w:sz w:val="18"/>
          <w:szCs w:val="18"/>
        </w:rPr>
        <w:t>1)定量标准主要为资产负债表日剩余存续期违约概率较初始确认时上升超过一定比例；</w:t>
      </w:r>
    </w:p>
    <w:p>
      <w:pPr>
        <w:pStyle w:val="11"/>
        <w:spacing w:before="40" w:beforeAutospacing="0" w:after="40" w:afterAutospacing="0"/>
        <w:ind w:firstLine="360"/>
        <w:rPr>
          <w:rFonts w:ascii="等线" w:hAnsi="等线" w:eastAsia="等线"/>
          <w:sz w:val="21"/>
          <w:szCs w:val="21"/>
        </w:rPr>
      </w:pPr>
      <w:r>
        <w:rPr>
          <w:rFonts w:hint="eastAsia"/>
          <w:sz w:val="18"/>
          <w:szCs w:val="18"/>
        </w:rPr>
        <w:t>2)定性标准主要为债务人经营或财务情况出现重大不利变化、现存的或预期的技术、市场、经济或法律环境变化并将对债务人对公司的还款能力产生重大不利影响等。</w:t>
      </w:r>
    </w:p>
    <w:p>
      <w:pPr>
        <w:pStyle w:val="11"/>
        <w:spacing w:before="40" w:beforeAutospacing="0" w:after="40" w:afterAutospacing="0"/>
        <w:ind w:firstLine="360"/>
        <w:rPr>
          <w:rFonts w:ascii="等线" w:hAnsi="等线" w:eastAsia="等线"/>
          <w:sz w:val="21"/>
          <w:szCs w:val="21"/>
        </w:rPr>
      </w:pPr>
      <w:r>
        <w:rPr>
          <w:rFonts w:hint="eastAsia"/>
          <w:sz w:val="18"/>
          <w:szCs w:val="18"/>
        </w:rPr>
        <w:t>（2）违约和已发生信用减值资产的定义</w:t>
      </w:r>
    </w:p>
    <w:p>
      <w:pPr>
        <w:pStyle w:val="11"/>
        <w:spacing w:before="40" w:beforeAutospacing="0" w:after="40" w:afterAutospacing="0"/>
        <w:ind w:firstLine="360"/>
        <w:rPr>
          <w:rFonts w:ascii="等线" w:hAnsi="等线" w:eastAsia="等线"/>
          <w:sz w:val="21"/>
          <w:szCs w:val="21"/>
        </w:rPr>
      </w:pPr>
      <w:r>
        <w:rPr>
          <w:rFonts w:hint="eastAsia"/>
          <w:sz w:val="18"/>
          <w:szCs w:val="18"/>
        </w:rPr>
        <w:t>当金融工具符合以下一项或多项条件时，公司将该金融资产界定为已发生违约，其标准与已发生信用减值的定义一致：</w:t>
      </w:r>
    </w:p>
    <w:p>
      <w:pPr>
        <w:pStyle w:val="11"/>
        <w:spacing w:before="40" w:beforeAutospacing="0" w:after="40" w:afterAutospacing="0"/>
        <w:ind w:firstLine="360"/>
        <w:rPr>
          <w:rFonts w:ascii="等线" w:hAnsi="等线" w:eastAsia="等线"/>
          <w:sz w:val="21"/>
          <w:szCs w:val="21"/>
        </w:rPr>
      </w:pPr>
      <w:r>
        <w:rPr>
          <w:rFonts w:hint="eastAsia"/>
          <w:sz w:val="18"/>
          <w:szCs w:val="18"/>
        </w:rPr>
        <w:t>1）发行方或债务人发生重大财务困难；</w:t>
      </w:r>
    </w:p>
    <w:p>
      <w:pPr>
        <w:pStyle w:val="11"/>
        <w:spacing w:before="40" w:beforeAutospacing="0" w:after="40" w:afterAutospacing="0"/>
        <w:ind w:firstLine="360"/>
        <w:rPr>
          <w:rFonts w:ascii="等线" w:hAnsi="等线" w:eastAsia="等线"/>
          <w:sz w:val="21"/>
          <w:szCs w:val="21"/>
        </w:rPr>
      </w:pPr>
      <w:r>
        <w:rPr>
          <w:rFonts w:hint="eastAsia"/>
          <w:sz w:val="18"/>
          <w:szCs w:val="18"/>
        </w:rPr>
        <w:t>2）债务人违反合同，如偿付利息或本金违约或逾期等；</w:t>
      </w:r>
    </w:p>
    <w:p>
      <w:pPr>
        <w:pStyle w:val="11"/>
        <w:spacing w:before="40" w:beforeAutospacing="0" w:after="40" w:afterAutospacing="0"/>
        <w:ind w:firstLine="360"/>
        <w:rPr>
          <w:rFonts w:ascii="等线" w:hAnsi="等线" w:eastAsia="等线"/>
          <w:sz w:val="21"/>
          <w:szCs w:val="21"/>
        </w:rPr>
      </w:pPr>
      <w:r>
        <w:rPr>
          <w:rFonts w:hint="eastAsia"/>
          <w:sz w:val="18"/>
          <w:szCs w:val="18"/>
        </w:rPr>
        <w:t>3）债权人出于与债务人财务困难有关的经济或合同考虑，给予债务人在任何其他情况下都不会做出的让步；</w:t>
      </w:r>
    </w:p>
    <w:p>
      <w:pPr>
        <w:pStyle w:val="11"/>
        <w:spacing w:before="40" w:beforeAutospacing="0" w:after="40" w:afterAutospacing="0"/>
        <w:ind w:firstLine="360"/>
        <w:rPr>
          <w:rFonts w:ascii="等线" w:hAnsi="等线" w:eastAsia="等线"/>
          <w:sz w:val="21"/>
          <w:szCs w:val="21"/>
        </w:rPr>
      </w:pPr>
      <w:r>
        <w:rPr>
          <w:rFonts w:hint="eastAsia"/>
          <w:sz w:val="18"/>
          <w:szCs w:val="18"/>
        </w:rPr>
        <w:t>4）债务人很可能破产或进行其他财务重组；</w:t>
      </w:r>
    </w:p>
    <w:p>
      <w:pPr>
        <w:pStyle w:val="11"/>
        <w:spacing w:before="40" w:beforeAutospacing="0" w:after="40" w:afterAutospacing="0"/>
        <w:ind w:firstLine="360"/>
        <w:rPr>
          <w:rFonts w:ascii="等线" w:hAnsi="等线" w:eastAsia="等线"/>
          <w:sz w:val="21"/>
          <w:szCs w:val="21"/>
        </w:rPr>
      </w:pPr>
      <w:r>
        <w:rPr>
          <w:rFonts w:hint="eastAsia"/>
          <w:sz w:val="18"/>
          <w:szCs w:val="18"/>
        </w:rPr>
        <w:t>5）发行方或债务人财务困难导致该金融资产的活跃市场消失。</w:t>
      </w:r>
    </w:p>
    <w:p>
      <w:pPr>
        <w:pStyle w:val="11"/>
        <w:spacing w:before="40" w:beforeAutospacing="0" w:after="40" w:afterAutospacing="0"/>
        <w:ind w:firstLine="361"/>
        <w:rPr>
          <w:rFonts w:ascii="等线" w:hAnsi="等线" w:eastAsia="等线"/>
          <w:sz w:val="21"/>
          <w:szCs w:val="21"/>
        </w:rPr>
      </w:pPr>
      <w:r>
        <w:rPr>
          <w:rStyle w:val="16"/>
          <w:rFonts w:hint="eastAsia"/>
          <w:sz w:val="18"/>
          <w:szCs w:val="18"/>
        </w:rPr>
        <w:t>2、预期信用损失的计量</w:t>
      </w:r>
    </w:p>
    <w:p>
      <w:pPr>
        <w:pStyle w:val="11"/>
        <w:spacing w:before="40" w:beforeAutospacing="0" w:after="40" w:afterAutospacing="0"/>
        <w:ind w:firstLine="360"/>
        <w:rPr>
          <w:rFonts w:ascii="等线" w:hAnsi="等线" w:eastAsia="等线"/>
          <w:sz w:val="21"/>
          <w:szCs w:val="21"/>
        </w:rPr>
      </w:pPr>
      <w:r>
        <w:rPr>
          <w:rFonts w:hint="eastAsia"/>
          <w:sz w:val="18"/>
          <w:szCs w:val="18"/>
        </w:rPr>
        <w:t>预期信用损失计量的关键参数包括违约概率、违约损失率和违约风险敞口。公司考虑历史统计数据(如交易对手评级、担保方式及抵质押物类别、还款方式等)的定量分析及前瞻性信息，建立违约概率、违约损失率及违约风险敞口模型。</w:t>
      </w:r>
    </w:p>
    <w:p>
      <w:pPr>
        <w:pStyle w:val="11"/>
        <w:spacing w:before="40" w:beforeAutospacing="0" w:after="40" w:afterAutospacing="0"/>
        <w:ind w:firstLine="361"/>
        <w:rPr>
          <w:rFonts w:ascii="等线" w:hAnsi="等线" w:eastAsia="等线"/>
          <w:sz w:val="21"/>
          <w:szCs w:val="21"/>
        </w:rPr>
      </w:pPr>
      <w:r>
        <w:rPr>
          <w:rStyle w:val="16"/>
          <w:rFonts w:hint="eastAsia"/>
          <w:sz w:val="18"/>
          <w:szCs w:val="18"/>
        </w:rPr>
        <w:t>3、金融工具损失准备期初余额与期末余额调节表详见本财务报表附注五、合并财务报表项目注释的相关说明</w:t>
      </w:r>
    </w:p>
    <w:p>
      <w:pPr>
        <w:pStyle w:val="11"/>
        <w:spacing w:before="40" w:beforeAutospacing="0" w:after="40" w:afterAutospacing="0"/>
        <w:ind w:firstLine="361"/>
        <w:rPr>
          <w:rFonts w:ascii="等线" w:hAnsi="等线" w:eastAsia="等线"/>
          <w:sz w:val="21"/>
          <w:szCs w:val="21"/>
        </w:rPr>
      </w:pPr>
      <w:r>
        <w:rPr>
          <w:rStyle w:val="16"/>
          <w:rFonts w:hint="eastAsia"/>
          <w:sz w:val="18"/>
          <w:szCs w:val="18"/>
        </w:rPr>
        <w:t>4、信用风险敞口及信用风险集中度</w:t>
      </w:r>
    </w:p>
    <w:p>
      <w:pPr>
        <w:pStyle w:val="11"/>
        <w:spacing w:before="40" w:beforeAutospacing="0" w:after="40" w:afterAutospacing="0"/>
        <w:ind w:firstLine="360"/>
        <w:rPr>
          <w:rFonts w:ascii="等线" w:hAnsi="等线" w:eastAsia="等线"/>
          <w:sz w:val="21"/>
          <w:szCs w:val="21"/>
        </w:rPr>
      </w:pPr>
      <w:r>
        <w:rPr>
          <w:rFonts w:hint="eastAsia"/>
          <w:sz w:val="18"/>
          <w:szCs w:val="18"/>
        </w:rPr>
        <w:t>本公司的信用风险主要来自银行存款和应收款项。为控制上述相关风险，本公司分别采取了以下措施：</w:t>
      </w:r>
    </w:p>
    <w:p>
      <w:pPr>
        <w:pStyle w:val="11"/>
        <w:spacing w:before="40" w:beforeAutospacing="0" w:after="40" w:afterAutospacing="0"/>
        <w:ind w:firstLine="360"/>
        <w:rPr>
          <w:rFonts w:ascii="等线" w:hAnsi="等线" w:eastAsia="等线"/>
          <w:sz w:val="21"/>
          <w:szCs w:val="21"/>
        </w:rPr>
      </w:pPr>
      <w:r>
        <w:rPr>
          <w:rFonts w:hint="eastAsia"/>
          <w:sz w:val="18"/>
          <w:szCs w:val="18"/>
        </w:rPr>
        <w:t>（1）货币资金</w:t>
      </w:r>
    </w:p>
    <w:p>
      <w:pPr>
        <w:pStyle w:val="11"/>
        <w:spacing w:before="40" w:beforeAutospacing="0" w:after="40" w:afterAutospacing="0"/>
        <w:ind w:firstLine="360"/>
        <w:rPr>
          <w:rFonts w:ascii="等线" w:hAnsi="等线" w:eastAsia="等线"/>
          <w:sz w:val="21"/>
          <w:szCs w:val="21"/>
        </w:rPr>
      </w:pPr>
      <w:r>
        <w:rPr>
          <w:rFonts w:hint="eastAsia"/>
          <w:sz w:val="18"/>
          <w:szCs w:val="18"/>
        </w:rPr>
        <w:t>本公司将银行存款和其他货币资金存放于信用评级较高的金融机构，故其信用风险较低。</w:t>
      </w:r>
    </w:p>
    <w:p>
      <w:pPr>
        <w:pStyle w:val="11"/>
        <w:spacing w:before="40" w:beforeAutospacing="0" w:after="40" w:afterAutospacing="0"/>
        <w:ind w:firstLine="360"/>
        <w:rPr>
          <w:rFonts w:ascii="等线" w:hAnsi="等线" w:eastAsia="等线"/>
          <w:sz w:val="21"/>
          <w:szCs w:val="21"/>
        </w:rPr>
      </w:pPr>
      <w:r>
        <w:rPr>
          <w:rFonts w:hint="eastAsia"/>
          <w:sz w:val="18"/>
          <w:szCs w:val="18"/>
        </w:rPr>
        <w:t>（2）应收款项</w:t>
      </w:r>
    </w:p>
    <w:p>
      <w:pPr>
        <w:pStyle w:val="11"/>
        <w:spacing w:before="40" w:beforeAutospacing="0" w:after="40" w:afterAutospacing="0"/>
        <w:ind w:firstLine="360"/>
        <w:rPr>
          <w:rFonts w:ascii="等线" w:hAnsi="等线" w:eastAsia="等线"/>
          <w:sz w:val="21"/>
          <w:szCs w:val="21"/>
        </w:rPr>
      </w:pPr>
      <w:r>
        <w:rPr>
          <w:rFonts w:hint="eastAsia"/>
          <w:sz w:val="18"/>
          <w:szCs w:val="18"/>
        </w:rPr>
        <w:t>公司设定相关政策以控制信用风险敞口。公司基于对客户的财务状况、信用记录及其它因素诸如目前市场状况等评估客户的信用资质并设置相应信用期。本公司会定期对客户信用记录进行监控，对于信用记录不良的客户，本公司会采用书面催款、缩短信用期或取消信用期等方式，以确保本公司的整体信用风险在可控的范围内。</w:t>
      </w:r>
    </w:p>
    <w:p>
      <w:pPr>
        <w:pStyle w:val="11"/>
        <w:spacing w:before="40" w:beforeAutospacing="0" w:after="40" w:afterAutospacing="0"/>
        <w:ind w:firstLine="360"/>
        <w:rPr>
          <w:rFonts w:ascii="等线" w:hAnsi="等线" w:eastAsia="等线"/>
          <w:sz w:val="21"/>
          <w:szCs w:val="21"/>
        </w:rPr>
      </w:pPr>
      <w:r>
        <w:rPr>
          <w:rFonts w:hint="eastAsia"/>
          <w:sz w:val="18"/>
          <w:szCs w:val="18"/>
        </w:rPr>
        <w:t>公司的应收账款风险点分布于多个客户，截至2022年12月31日，本公司应收账款的25.11%（2021年12月31日：36.06%）源于余额前五名客户，本公司不存在重大的信用集中风险。</w:t>
      </w:r>
    </w:p>
    <w:p>
      <w:pPr>
        <w:pStyle w:val="11"/>
        <w:spacing w:before="40" w:beforeAutospacing="0" w:after="40" w:afterAutospacing="0"/>
        <w:ind w:firstLine="360"/>
        <w:rPr>
          <w:rFonts w:ascii="等线" w:hAnsi="等线" w:eastAsia="等线"/>
          <w:sz w:val="21"/>
          <w:szCs w:val="21"/>
        </w:rPr>
      </w:pPr>
      <w:r>
        <w:rPr>
          <w:rFonts w:hint="eastAsia"/>
          <w:sz w:val="18"/>
          <w:szCs w:val="18"/>
        </w:rPr>
        <w:t>本公司所承受的最大信用风险敞口为资产负债表中每项金融资产的账面价值。</w:t>
      </w:r>
    </w:p>
    <w:p>
      <w:pPr>
        <w:pStyle w:val="11"/>
        <w:spacing w:before="40" w:beforeAutospacing="0" w:after="40" w:afterAutospacing="0"/>
        <w:ind w:firstLine="361"/>
        <w:rPr>
          <w:rFonts w:ascii="等线" w:hAnsi="等线" w:eastAsia="等线"/>
          <w:sz w:val="21"/>
          <w:szCs w:val="21"/>
        </w:rPr>
      </w:pPr>
      <w:r>
        <w:rPr>
          <w:rStyle w:val="16"/>
          <w:rFonts w:hint="eastAsia"/>
          <w:sz w:val="18"/>
          <w:szCs w:val="18"/>
        </w:rPr>
        <w:t>（二）流动性风险</w:t>
      </w:r>
    </w:p>
    <w:p>
      <w:pPr>
        <w:pStyle w:val="11"/>
        <w:spacing w:before="40" w:beforeAutospacing="0" w:after="40" w:afterAutospacing="0"/>
        <w:ind w:firstLine="360"/>
        <w:rPr>
          <w:rFonts w:ascii="等线" w:hAnsi="等线" w:eastAsia="等线"/>
          <w:sz w:val="21"/>
          <w:szCs w:val="21"/>
        </w:rPr>
      </w:pPr>
      <w:r>
        <w:rPr>
          <w:rFonts w:hint="eastAsia"/>
          <w:sz w:val="18"/>
          <w:szCs w:val="18"/>
        </w:rPr>
        <w:t>流动性风险，是指本公司在履行以交付现金或其他金融资产的方式结算的义务时发生资金短缺的风险。</w:t>
      </w:r>
    </w:p>
    <w:p>
      <w:pPr>
        <w:pStyle w:val="11"/>
        <w:spacing w:before="40" w:beforeAutospacing="0" w:after="40" w:afterAutospacing="0"/>
        <w:ind w:firstLine="360"/>
        <w:rPr>
          <w:rFonts w:ascii="等线" w:hAnsi="等线" w:eastAsia="等线"/>
          <w:sz w:val="21"/>
          <w:szCs w:val="21"/>
        </w:rPr>
      </w:pPr>
      <w:r>
        <w:rPr>
          <w:rFonts w:hint="eastAsia"/>
          <w:sz w:val="18"/>
          <w:szCs w:val="18"/>
        </w:rPr>
        <w:t>流动性风险可能源于无法尽快以公允价值售出金融资产；或者源于对方无法偿还其合同债务；或者源于提前到期的债务；或者源于无法产生预期的现金流量。</w:t>
      </w:r>
    </w:p>
    <w:p>
      <w:pPr>
        <w:pStyle w:val="11"/>
        <w:spacing w:before="40" w:beforeAutospacing="0" w:after="40" w:afterAutospacing="0"/>
        <w:ind w:firstLine="360"/>
        <w:rPr>
          <w:rFonts w:ascii="等线" w:hAnsi="等线" w:eastAsia="等线"/>
          <w:sz w:val="21"/>
          <w:szCs w:val="21"/>
        </w:rPr>
      </w:pPr>
      <w:r>
        <w:rPr>
          <w:rFonts w:hint="eastAsia"/>
          <w:sz w:val="18"/>
          <w:szCs w:val="18"/>
        </w:rPr>
        <w:t>本公司各子公司负责其自身的现金流量预测。总部财务部门在汇总各子公司现金流量预测的基础上，在集团层面持续监控短期和长期的资金需求，以确保维持充裕的现金储备和可供随时变现的有价证券；从主要金融机构获得提供足够备用资金的承诺，以满足短期和长期的资金需求。</w:t>
      </w:r>
    </w:p>
    <w:p>
      <w:pPr>
        <w:pStyle w:val="11"/>
        <w:spacing w:before="40" w:beforeAutospacing="0" w:after="40" w:afterAutospacing="0"/>
        <w:ind w:firstLine="361"/>
        <w:rPr>
          <w:rFonts w:ascii="等线" w:hAnsi="等线" w:eastAsia="等线"/>
          <w:sz w:val="21"/>
          <w:szCs w:val="21"/>
        </w:rPr>
      </w:pPr>
      <w:r>
        <w:rPr>
          <w:rStyle w:val="16"/>
          <w:rFonts w:hint="eastAsia"/>
          <w:sz w:val="18"/>
          <w:szCs w:val="18"/>
        </w:rPr>
        <w:t>（三）市场风险</w:t>
      </w:r>
    </w:p>
    <w:p>
      <w:pPr>
        <w:pStyle w:val="11"/>
        <w:spacing w:before="40" w:beforeAutospacing="0" w:after="40" w:afterAutospacing="0"/>
        <w:ind w:firstLine="360"/>
        <w:rPr>
          <w:rFonts w:ascii="等线" w:hAnsi="等线" w:eastAsia="等线"/>
          <w:sz w:val="21"/>
          <w:szCs w:val="21"/>
        </w:rPr>
      </w:pPr>
      <w:r>
        <w:rPr>
          <w:rFonts w:hint="eastAsia"/>
          <w:sz w:val="18"/>
          <w:szCs w:val="18"/>
        </w:rPr>
        <w:t>市场风险，是指金融工具的公允价值或未来现金流量因市场价格变动而发生波动的风险。市场风险主要包括利率风险、外汇风险和其他价格风险。</w:t>
      </w:r>
    </w:p>
    <w:p>
      <w:pPr>
        <w:pStyle w:val="11"/>
        <w:spacing w:before="40" w:beforeAutospacing="0" w:after="40" w:afterAutospacing="0"/>
        <w:ind w:firstLine="361"/>
        <w:rPr>
          <w:rFonts w:ascii="等线" w:hAnsi="等线" w:eastAsia="等线"/>
          <w:sz w:val="21"/>
          <w:szCs w:val="21"/>
        </w:rPr>
      </w:pPr>
      <w:r>
        <w:rPr>
          <w:rStyle w:val="16"/>
          <w:rFonts w:hint="eastAsia"/>
          <w:sz w:val="18"/>
          <w:szCs w:val="18"/>
        </w:rPr>
        <w:t>1、利率风险</w:t>
      </w:r>
    </w:p>
    <w:p>
      <w:pPr>
        <w:pStyle w:val="11"/>
        <w:spacing w:before="40" w:beforeAutospacing="0" w:after="40" w:afterAutospacing="0"/>
        <w:ind w:firstLine="360"/>
        <w:rPr>
          <w:rFonts w:ascii="等线" w:hAnsi="等线" w:eastAsia="等线"/>
          <w:sz w:val="21"/>
          <w:szCs w:val="21"/>
        </w:rPr>
      </w:pPr>
      <w:r>
        <w:rPr>
          <w:rFonts w:hint="eastAsia"/>
          <w:sz w:val="18"/>
          <w:szCs w:val="18"/>
        </w:rPr>
        <w:t>利率风险，是指金融工具的公允价值或未来现金流量因市场利率变动而发生波动的风险。本公司资产负债表日不存在带息债务，同时由于定期存款为短期存款，故银行存款的现金流量风险并不重大。</w:t>
      </w:r>
    </w:p>
    <w:p>
      <w:pPr>
        <w:pStyle w:val="11"/>
        <w:spacing w:before="40" w:beforeAutospacing="0" w:after="40" w:afterAutospacing="0"/>
        <w:ind w:firstLine="361"/>
        <w:rPr>
          <w:rFonts w:ascii="等线" w:hAnsi="等线" w:eastAsia="等线"/>
          <w:sz w:val="21"/>
          <w:szCs w:val="21"/>
        </w:rPr>
      </w:pPr>
      <w:r>
        <w:rPr>
          <w:rStyle w:val="16"/>
          <w:rFonts w:hint="eastAsia"/>
          <w:sz w:val="18"/>
          <w:szCs w:val="18"/>
        </w:rPr>
        <w:t>2、外汇风险</w:t>
      </w:r>
    </w:p>
    <w:p>
      <w:pPr>
        <w:pStyle w:val="11"/>
        <w:spacing w:before="40" w:beforeAutospacing="0" w:after="40" w:afterAutospacing="0"/>
        <w:ind w:firstLine="360"/>
        <w:rPr>
          <w:rFonts w:ascii="等线" w:hAnsi="等线" w:eastAsia="等线"/>
          <w:sz w:val="21"/>
          <w:szCs w:val="21"/>
        </w:rPr>
      </w:pPr>
      <w:r>
        <w:rPr>
          <w:rFonts w:hint="eastAsia"/>
          <w:sz w:val="18"/>
          <w:szCs w:val="18"/>
        </w:rPr>
        <w:t>外汇风险，是指金融工具的公允价值或未来现金流量因外汇汇率变动而发生波动的风险。本公司承受外汇风险主要与美元、欧元有关，除本公司及子公司温岭甬岭水表有限公司以美元、欧元进行采购和销售外，本公司的其他主要业务活动以人民币计价结算。于2022年12月31日，公司货币资金美元金额为174,287.76元、应收账款美元金额为4,921,443.74元、预付账款美元金额为204,400.00元、预付账款欧元金额为209,893.50元、合同负债美元金额为787,249.28元，除上所述资产及负债为外币余额外，本公司的其他资产及负债均为人民币余额。该等外币余额的资产产生的外汇风险可能对本公司的经营业绩产生影响，但影响并不重大。</w:t>
      </w:r>
    </w:p>
    <w:p>
      <w:pPr>
        <w:pStyle w:val="3"/>
        <w:spacing w:before="300" w:after="300" w:line="320" w:lineRule="exact"/>
        <w:rPr>
          <w:rFonts w:ascii="宋体" w:hAnsi="宋体" w:eastAsia="宋体" w:cs="宋体"/>
          <w:b/>
          <w:bCs/>
          <w:sz w:val="24"/>
          <w:szCs w:val="24"/>
        </w:rPr>
      </w:pPr>
      <w:bookmarkStart w:id="371" w:name="_Toc989253"/>
      <w:r>
        <w:rPr>
          <w:rFonts w:ascii="宋体" w:hAnsi="宋体" w:eastAsia="宋体" w:cs="宋体"/>
          <w:b/>
          <w:bCs/>
          <w:sz w:val="24"/>
          <w:szCs w:val="24"/>
        </w:rPr>
        <w:t>十一、公允价值的披露</w:t>
      </w:r>
      <w:bookmarkEnd w:id="371"/>
    </w:p>
    <w:p>
      <w:pPr>
        <w:pStyle w:val="4"/>
        <w:spacing w:line="280" w:lineRule="exact"/>
        <w:jc w:val="left"/>
        <w:rPr>
          <w:rFonts w:ascii="宋体" w:hAnsi="宋体" w:cs="宋体"/>
          <w:b/>
          <w:bCs/>
        </w:rPr>
      </w:pPr>
      <w:bookmarkStart w:id="372" w:name="_Toc989254"/>
      <w:r>
        <w:rPr>
          <w:rFonts w:ascii="宋体" w:hAnsi="宋体" w:cs="宋体"/>
          <w:b/>
          <w:bCs/>
        </w:rPr>
        <w:t>1、以公允价值计量的资产和负债的期末公允价值</w:t>
      </w:r>
      <w:bookmarkEnd w:id="372"/>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402"/>
        <w:gridCol w:w="1418"/>
        <w:gridCol w:w="1701"/>
        <w:gridCol w:w="1559"/>
        <w:gridCol w:w="155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402"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6237"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期末公允价值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402"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第一层次公允价值计量</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第二层次公允价值计量</w:t>
            </w:r>
          </w:p>
        </w:tc>
        <w:tc>
          <w:tcPr>
            <w:tcW w:w="155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第三层次公允价值计量</w:t>
            </w:r>
          </w:p>
        </w:tc>
        <w:tc>
          <w:tcPr>
            <w:tcW w:w="155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40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一、持续的公允价值计量</w:t>
            </w:r>
          </w:p>
        </w:tc>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155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155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40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1.以公允价值计量且其变动计入当期损益的金融资产</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41,019,613.00</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41,019,613.00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40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（2）权益工具投资</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41,019,613.00</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41,019,613.00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40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二、非持续的公允价值计量</w:t>
            </w:r>
          </w:p>
        </w:tc>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155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c>
          <w:tcPr>
            <w:tcW w:w="155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bl>
    <w:p>
      <w:pPr>
        <w:pStyle w:val="4"/>
        <w:spacing w:line="280" w:lineRule="exact"/>
        <w:jc w:val="left"/>
      </w:pPr>
      <w:bookmarkStart w:id="373" w:name="_Toc989255"/>
      <w:r>
        <w:rPr>
          <w:rFonts w:ascii="宋体" w:hAnsi="宋体" w:cs="宋体"/>
          <w:b/>
          <w:bCs/>
        </w:rPr>
        <w:t>2、持续和非持续第一层次公允价值计量项目市价的确定依据</w:t>
      </w:r>
      <w:bookmarkEnd w:id="373"/>
    </w:p>
    <w:p>
      <w:pPr>
        <w:pStyle w:val="4"/>
        <w:spacing w:line="280" w:lineRule="exact"/>
        <w:jc w:val="left"/>
      </w:pPr>
      <w:bookmarkStart w:id="374" w:name="_Toc989256"/>
      <w:r>
        <w:rPr>
          <w:rFonts w:ascii="宋体" w:hAnsi="宋体" w:cs="宋体"/>
          <w:b/>
          <w:bCs/>
        </w:rPr>
        <w:t>3、持续和非持续第二层次公允价值计量项目，采用的估值技术和重要参数的定性及定量信息</w:t>
      </w:r>
      <w:bookmarkEnd w:id="374"/>
    </w:p>
    <w:p>
      <w:pPr>
        <w:pStyle w:val="4"/>
        <w:spacing w:line="280" w:lineRule="exact"/>
        <w:jc w:val="left"/>
        <w:rPr>
          <w:rFonts w:ascii="宋体" w:hAnsi="宋体" w:cs="宋体"/>
          <w:b/>
          <w:bCs/>
        </w:rPr>
      </w:pPr>
      <w:bookmarkStart w:id="375" w:name="_Toc989257"/>
      <w:r>
        <w:rPr>
          <w:rFonts w:ascii="宋体" w:hAnsi="宋体" w:cs="宋体"/>
          <w:b/>
          <w:bCs/>
        </w:rPr>
        <w:t>4、持续和非持续第三层次公允价值计量项目，采用的估值技术和重要参数的定性及定量信息</w:t>
      </w:r>
      <w:bookmarkEnd w:id="375"/>
    </w:p>
    <w:p>
      <w:pPr>
        <w:pStyle w:val="11"/>
        <w:spacing w:before="40" w:beforeAutospacing="0" w:after="40" w:afterAutospacing="0"/>
        <w:ind w:firstLine="360"/>
        <w:rPr>
          <w:rFonts w:ascii="等线" w:hAnsi="等线" w:eastAsia="等线"/>
          <w:sz w:val="21"/>
          <w:szCs w:val="21"/>
        </w:rPr>
      </w:pPr>
      <w:r>
        <w:rPr>
          <w:rFonts w:hint="eastAsia"/>
          <w:sz w:val="18"/>
          <w:szCs w:val="18"/>
        </w:rPr>
        <w:t>持续和第三层次公允价值计量项目包括上海弘泰互融创业投资中心（有限合伙）、甘肃兰银金融租赁股份有限公司。其中：甘肃兰银金融租赁股份有限公司采用市场法作为估值技术；上海弘泰互融创业投资中心（有限合伙）经营环境和经营情况财务状况未发生重大变化，所以公司按投资成本作为公允价值的合理估计进行计量。</w:t>
      </w:r>
    </w:p>
    <w:p>
      <w:pPr>
        <w:pStyle w:val="4"/>
        <w:spacing w:line="280" w:lineRule="exact"/>
        <w:jc w:val="left"/>
      </w:pPr>
      <w:bookmarkStart w:id="376" w:name="_Toc989258"/>
      <w:r>
        <w:rPr>
          <w:rFonts w:ascii="宋体" w:hAnsi="宋体" w:cs="宋体"/>
          <w:b/>
          <w:bCs/>
        </w:rPr>
        <w:t>5、持续的第三层次公允价值计量项目，期初与期末账面价值间的调节信息及不可观察参数敏感性分析</w:t>
      </w:r>
      <w:bookmarkEnd w:id="376"/>
    </w:p>
    <w:p>
      <w:pPr>
        <w:pStyle w:val="4"/>
        <w:spacing w:line="280" w:lineRule="exact"/>
        <w:jc w:val="left"/>
      </w:pPr>
      <w:bookmarkStart w:id="377" w:name="_Toc989259"/>
      <w:r>
        <w:rPr>
          <w:rFonts w:ascii="宋体" w:hAnsi="宋体" w:cs="宋体"/>
          <w:b/>
          <w:bCs/>
        </w:rPr>
        <w:t>6、持续的公允价值计量项目，本期内发生各层级之间转换的，转换的原因及确定转换时点的政策</w:t>
      </w:r>
      <w:bookmarkEnd w:id="377"/>
    </w:p>
    <w:p>
      <w:pPr>
        <w:pStyle w:val="4"/>
        <w:spacing w:line="280" w:lineRule="exact"/>
        <w:jc w:val="left"/>
      </w:pPr>
      <w:bookmarkStart w:id="378" w:name="_Toc989260"/>
      <w:r>
        <w:rPr>
          <w:rFonts w:ascii="宋体" w:hAnsi="宋体" w:cs="宋体"/>
          <w:b/>
          <w:bCs/>
        </w:rPr>
        <w:t>7、本期内发生的估值技术变更及变更原因</w:t>
      </w:r>
      <w:bookmarkEnd w:id="378"/>
    </w:p>
    <w:p>
      <w:pPr>
        <w:pStyle w:val="4"/>
        <w:spacing w:line="280" w:lineRule="exact"/>
        <w:jc w:val="left"/>
      </w:pPr>
      <w:bookmarkStart w:id="379" w:name="_Toc989261"/>
      <w:r>
        <w:rPr>
          <w:rFonts w:ascii="宋体" w:hAnsi="宋体" w:cs="宋体"/>
          <w:b/>
          <w:bCs/>
        </w:rPr>
        <w:t>8、不以公允价值计量的金融资产和金融负债的公允价值情况</w:t>
      </w:r>
      <w:bookmarkEnd w:id="379"/>
    </w:p>
    <w:p>
      <w:pPr>
        <w:pStyle w:val="4"/>
        <w:spacing w:line="280" w:lineRule="exact"/>
        <w:jc w:val="left"/>
      </w:pPr>
      <w:bookmarkStart w:id="380" w:name="_Toc989262"/>
      <w:r>
        <w:rPr>
          <w:rFonts w:ascii="宋体" w:hAnsi="宋体" w:cs="宋体"/>
          <w:b/>
          <w:bCs/>
        </w:rPr>
        <w:t>9、其他</w:t>
      </w:r>
      <w:bookmarkEnd w:id="380"/>
    </w:p>
    <w:p>
      <w:pPr>
        <w:pStyle w:val="3"/>
        <w:spacing w:before="300" w:after="300" w:line="320" w:lineRule="exact"/>
        <w:rPr>
          <w:rFonts w:ascii="宋体" w:hAnsi="宋体" w:eastAsia="宋体" w:cs="宋体"/>
          <w:b/>
          <w:bCs/>
          <w:sz w:val="24"/>
          <w:szCs w:val="24"/>
        </w:rPr>
      </w:pPr>
      <w:bookmarkStart w:id="381" w:name="_Toc989263"/>
      <w:r>
        <w:rPr>
          <w:rFonts w:ascii="宋体" w:hAnsi="宋体" w:eastAsia="宋体" w:cs="宋体"/>
          <w:b/>
          <w:bCs/>
          <w:sz w:val="24"/>
          <w:szCs w:val="24"/>
        </w:rPr>
        <w:t>十二、关联方及关联交易</w:t>
      </w:r>
      <w:bookmarkEnd w:id="381"/>
    </w:p>
    <w:p>
      <w:pPr>
        <w:pStyle w:val="4"/>
        <w:spacing w:line="280" w:lineRule="exact"/>
        <w:jc w:val="left"/>
        <w:rPr>
          <w:rFonts w:ascii="宋体" w:hAnsi="宋体" w:cs="宋体"/>
          <w:b/>
          <w:bCs/>
        </w:rPr>
      </w:pPr>
      <w:bookmarkStart w:id="382" w:name="_Toc989264"/>
      <w:r>
        <w:rPr>
          <w:rFonts w:ascii="宋体" w:hAnsi="宋体" w:cs="宋体"/>
          <w:b/>
          <w:bCs/>
        </w:rPr>
        <w:t>1、本企业的母公司情况</w:t>
      </w:r>
      <w:bookmarkEnd w:id="382"/>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268"/>
        <w:gridCol w:w="1560"/>
        <w:gridCol w:w="990"/>
        <w:gridCol w:w="1607"/>
        <w:gridCol w:w="1607"/>
        <w:gridCol w:w="160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母公司名称</w:t>
            </w:r>
          </w:p>
        </w:tc>
        <w:tc>
          <w:tcPr>
            <w:tcW w:w="156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注册地</w:t>
            </w:r>
          </w:p>
        </w:tc>
        <w:tc>
          <w:tcPr>
            <w:tcW w:w="99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业务性质</w:t>
            </w:r>
          </w:p>
        </w:tc>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注册资本</w:t>
            </w:r>
          </w:p>
        </w:tc>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母公司对本企业的持股比例</w:t>
            </w:r>
          </w:p>
        </w:tc>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母公司对本企业的表决权比例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江西三川集团有限公司</w:t>
            </w:r>
          </w:p>
        </w:tc>
        <w:tc>
          <w:tcPr>
            <w:tcW w:w="156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w:t>
            </w:r>
          </w:p>
        </w:tc>
        <w:tc>
          <w:tcPr>
            <w:tcW w:w="99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投资</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3,862.0452万元</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35.84%</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35.84%</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本企业的母公司情况的说明</w:t>
      </w:r>
    </w:p>
    <w:p>
      <w:pPr>
        <w:pStyle w:val="11"/>
        <w:spacing w:before="40" w:beforeAutospacing="0" w:after="40" w:afterAutospacing="0"/>
        <w:ind w:firstLine="360"/>
        <w:rPr>
          <w:rFonts w:ascii="等线" w:hAnsi="等线" w:eastAsia="等线"/>
          <w:sz w:val="21"/>
          <w:szCs w:val="21"/>
        </w:rPr>
      </w:pPr>
      <w:r>
        <w:rPr>
          <w:rFonts w:hint="eastAsia"/>
          <w:sz w:val="18"/>
          <w:szCs w:val="18"/>
        </w:rPr>
        <w:t>江西三川集团有限公司成立于1992年5月25日，法定代表人：李建林，注册资本3,862.05万元，公司住所为鹰潭市工业园区三川大道，经营范围机械制造、建材、化工（不含危险化学品）、百货、装饰材料、陶瓷、音响、自营和代理各类商品及技术的进出口业务、进料加工和“三来一补”业务、对外贸易和转口贸易、销售黄金、白银及饰品、工艺品等。公司主营业务为实业投资。</w:t>
      </w:r>
    </w:p>
    <w:p>
      <w:pPr>
        <w:spacing w:before="40" w:after="40" w:line="240" w:lineRule="exact"/>
        <w:rPr>
          <w:rFonts w:ascii="宋体" w:hAnsi="宋体" w:eastAsia="宋体" w:cs="宋体"/>
          <w:sz w:val="18"/>
          <w:szCs w:val="18"/>
        </w:rPr>
      </w:pPr>
      <w:r>
        <w:rPr>
          <w:rFonts w:ascii="宋体" w:hAnsi="宋体" w:eastAsia="宋体" w:cs="宋体"/>
          <w:sz w:val="18"/>
          <w:szCs w:val="18"/>
        </w:rPr>
        <w:t>本企业最终控制方是李建林及李强祖父子。</w:t>
      </w:r>
    </w:p>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83" w:name="_Toc989265"/>
      <w:r>
        <w:rPr>
          <w:rFonts w:ascii="宋体" w:hAnsi="宋体" w:cs="宋体"/>
          <w:b/>
          <w:bCs/>
        </w:rPr>
        <w:t>2、本企业的子公司情况</w:t>
      </w:r>
      <w:bookmarkEnd w:id="383"/>
    </w:p>
    <w:p>
      <w:pPr>
        <w:spacing w:before="40" w:after="40" w:line="240" w:lineRule="exact"/>
        <w:rPr>
          <w:rFonts w:ascii="宋体" w:hAnsi="宋体" w:eastAsia="宋体" w:cs="宋体"/>
          <w:sz w:val="18"/>
          <w:szCs w:val="18"/>
        </w:rPr>
      </w:pPr>
      <w:r>
        <w:rPr>
          <w:rFonts w:ascii="宋体" w:hAnsi="宋体" w:eastAsia="宋体" w:cs="宋体"/>
          <w:sz w:val="18"/>
          <w:szCs w:val="18"/>
        </w:rPr>
        <w:t>本企业子公司的情况详见附注九、1、在子公司的权益。</w:t>
      </w:r>
    </w:p>
    <w:p>
      <w:pPr>
        <w:pStyle w:val="4"/>
        <w:spacing w:line="280" w:lineRule="exact"/>
        <w:jc w:val="left"/>
        <w:rPr>
          <w:rFonts w:ascii="宋体" w:hAnsi="宋体" w:cs="宋体"/>
          <w:b/>
          <w:bCs/>
        </w:rPr>
      </w:pPr>
      <w:bookmarkStart w:id="384" w:name="_Toc989266"/>
      <w:r>
        <w:rPr>
          <w:rFonts w:ascii="宋体" w:hAnsi="宋体" w:cs="宋体"/>
          <w:b/>
          <w:bCs/>
        </w:rPr>
        <w:t>3、本企业合营和联营企业情况</w:t>
      </w:r>
      <w:bookmarkEnd w:id="384"/>
    </w:p>
    <w:p>
      <w:pPr>
        <w:spacing w:before="40" w:after="40" w:line="240" w:lineRule="exact"/>
        <w:rPr>
          <w:rFonts w:ascii="宋体" w:hAnsi="宋体" w:eastAsia="宋体" w:cs="宋体"/>
          <w:sz w:val="18"/>
          <w:szCs w:val="18"/>
        </w:rPr>
      </w:pPr>
      <w:r>
        <w:rPr>
          <w:rFonts w:ascii="宋体" w:hAnsi="宋体" w:eastAsia="宋体" w:cs="宋体"/>
          <w:sz w:val="18"/>
          <w:szCs w:val="18"/>
        </w:rPr>
        <w:t>本企业重要的合营或联营企业详见附注九、3、在合营安排或联营企业中的权益。</w:t>
      </w:r>
    </w:p>
    <w:p>
      <w:pPr>
        <w:spacing w:before="100" w:after="100" w:line="240" w:lineRule="exact"/>
        <w:rPr>
          <w:rFonts w:ascii="宋体" w:hAnsi="宋体" w:eastAsia="宋体" w:cs="宋体"/>
          <w:sz w:val="18"/>
          <w:szCs w:val="18"/>
        </w:rPr>
      </w:pPr>
      <w:r>
        <w:rPr>
          <w:rFonts w:ascii="宋体" w:hAnsi="宋体" w:eastAsia="宋体" w:cs="宋体"/>
          <w:sz w:val="18"/>
          <w:szCs w:val="18"/>
        </w:rPr>
        <w:t>本期与本公司发生关联方交易，或前期与本公司发生关联方交易形成余额的其他合营或联营企业情况如下：</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合营或联营企业名称</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与本企业关系</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鹰潭市供水集团有限公司</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联营企业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江西川仪三川智慧水务科技有限公司</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联营企业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江西三川埃尔斯特水表有限公司</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联营企业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山西万家寨三合智慧科技有限公司</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联营企业</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85" w:name="_Toc989267"/>
      <w:r>
        <w:rPr>
          <w:rFonts w:ascii="宋体" w:hAnsi="宋体" w:cs="宋体"/>
          <w:b/>
          <w:bCs/>
        </w:rPr>
        <w:t>4、其他关联方情况</w:t>
      </w:r>
      <w:bookmarkEnd w:id="385"/>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其他关联方名称</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其他关联方与本企业关系</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周钢华</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持有本公司股份5%以上的股东</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赣州集盛科技有限责任公司</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周钢华的参股公司并担任公司董事长</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江西三川节能股份有限公司</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同一实际控制人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鹰潭市龙虎山庄旅业有限公司</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同一实际控制人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江西三川新能源有限公司</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同一实际控制人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鹰潭信江给排水工程有限公司</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鹰潭市供水集团有限公司的子公司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鹰潭信江供水有限公司</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鹰潭市供水集团有限公司的子公司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江西汉和企业发展有限公司</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鹰潭市三川实业发展有限公司的子公司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鹰潭市信江水务工程有限公司</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鹰潭市三川实业发展有限公司的子公司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中旷建设集团有限公司</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鹰潭市三川实业发展有限公司的子公司</w:t>
            </w:r>
          </w:p>
        </w:tc>
      </w:tr>
    </w:tbl>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386" w:name="_Toc989268"/>
      <w:r>
        <w:rPr>
          <w:rFonts w:ascii="宋体" w:hAnsi="宋体" w:cs="宋体"/>
          <w:b/>
          <w:bCs/>
        </w:rPr>
        <w:t>5、关联交易情况</w:t>
      </w:r>
      <w:bookmarkEnd w:id="386"/>
    </w:p>
    <w:p>
      <w:pPr>
        <w:keepNext/>
        <w:keepLines/>
        <w:spacing w:before="300" w:after="300" w:line="280" w:lineRule="exact"/>
        <w:outlineLvl w:val="3"/>
        <w:rPr>
          <w:rFonts w:ascii="宋体" w:hAnsi="宋体" w:eastAsia="宋体" w:cs="宋体"/>
          <w:b/>
          <w:bCs/>
          <w:szCs w:val="21"/>
        </w:rPr>
      </w:pPr>
      <w:bookmarkStart w:id="387" w:name="_Toc989269"/>
      <w:r>
        <w:rPr>
          <w:rFonts w:ascii="宋体" w:hAnsi="宋体" w:eastAsia="宋体" w:cs="宋体"/>
          <w:b/>
          <w:bCs/>
          <w:szCs w:val="21"/>
        </w:rPr>
        <w:t>（1） 购销商品、提供和接受劳务的关联交易</w:t>
      </w:r>
      <w:bookmarkEnd w:id="387"/>
    </w:p>
    <w:p>
      <w:pPr>
        <w:spacing w:before="40" w:after="40" w:line="240" w:lineRule="exact"/>
        <w:rPr>
          <w:rFonts w:ascii="宋体" w:hAnsi="宋体" w:eastAsia="宋体" w:cs="宋体"/>
          <w:sz w:val="18"/>
          <w:szCs w:val="18"/>
        </w:rPr>
      </w:pPr>
      <w:r>
        <w:rPr>
          <w:rFonts w:ascii="宋体" w:hAnsi="宋体" w:eastAsia="宋体" w:cs="宋体"/>
          <w:sz w:val="18"/>
          <w:szCs w:val="18"/>
        </w:rPr>
        <w:t>采购商品/接受劳务情况表</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694"/>
        <w:gridCol w:w="1417"/>
        <w:gridCol w:w="1418"/>
        <w:gridCol w:w="1417"/>
        <w:gridCol w:w="1086"/>
        <w:gridCol w:w="160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关联方</w:t>
            </w:r>
          </w:p>
        </w:tc>
        <w:tc>
          <w:tcPr>
            <w:tcW w:w="14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关联交易内容</w:t>
            </w:r>
          </w:p>
        </w:tc>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14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获批的交易额度</w:t>
            </w:r>
          </w:p>
        </w:tc>
        <w:tc>
          <w:tcPr>
            <w:tcW w:w="108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是否超过交易额度</w:t>
            </w:r>
          </w:p>
        </w:tc>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赣州集盛科技有限责任公司</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加工费、氧化物成品</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9,628,154.41</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08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江西川仪三川智慧水务科技有限公司</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水表等</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26,933,803.67</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50,000,000.00</w:t>
            </w:r>
          </w:p>
        </w:tc>
        <w:tc>
          <w:tcPr>
            <w:tcW w:w="108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16,731,224.78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江西三川埃尔斯特水表有限公司</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水表等</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36,190,151.81</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35,000,000.00</w:t>
            </w:r>
          </w:p>
        </w:tc>
        <w:tc>
          <w:tcPr>
            <w:tcW w:w="108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是</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21,427,034.70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江西三川埃尔斯特水表有限公司</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返修费</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928.80</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08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7,753.61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鹰潭市供水集团有限公司</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材料配件及技术服务费</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08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5,312.22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鹰潭市龙虎山庄旅业有限公司</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招待及会议费</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316,810.00</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08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749,107.70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9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江西三川节能股份有限公司</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设备</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08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747,256.64</w:t>
            </w:r>
          </w:p>
        </w:tc>
      </w:tr>
    </w:tbl>
    <w:p>
      <w:pPr>
        <w:spacing w:before="40" w:after="40" w:line="240" w:lineRule="exact"/>
        <w:rPr>
          <w:rFonts w:ascii="宋体" w:hAnsi="宋体" w:eastAsia="宋体" w:cs="宋体"/>
          <w:sz w:val="18"/>
          <w:szCs w:val="18"/>
        </w:rPr>
      </w:pPr>
      <w:r>
        <w:rPr>
          <w:rFonts w:ascii="宋体" w:hAnsi="宋体" w:eastAsia="宋体" w:cs="宋体"/>
          <w:sz w:val="18"/>
          <w:szCs w:val="18"/>
        </w:rPr>
        <w:t>出售商品/提供劳务情况表</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544"/>
        <w:gridCol w:w="2410"/>
        <w:gridCol w:w="1984"/>
        <w:gridCol w:w="170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关联方</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关联交易内容</w:t>
            </w:r>
          </w:p>
        </w:tc>
        <w:tc>
          <w:tcPr>
            <w:tcW w:w="198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鹰潭市供水集团有限公司</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水表、无负压设备及软件</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1,788,708.86</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67,681.00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鹰潭市供水集团有限公司</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技术服务</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94,339.62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中旷建设集团有限公司</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水表、无负压设备等</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891,469.90</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11,386,893.82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江西三川埃尔斯特水表有限公司</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水表等</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6,580,298.21</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2,056,864.03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鹰潭市信江水务工程有限公司</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水表、无负压设备等</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448,326.57</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83,214.16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北京天川智联科技有限责任公司</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水表等</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11,982,740.52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5,165,362.24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江西汉和企业发展有限公司</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无负压设备等</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513,446.00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山西万家寨三合智慧科技有限公司</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水表等</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5,571,449.72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1,099,655.23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山西万家寨三合智慧科技有限公司</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技术服务</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4,716.98</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943.40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赣州集盛科技有限责任公司</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锂料液</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2,761,061.94</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赣州集盛科技有限责任公司</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氧化铽</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8,982,300.90</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江西三川节能股份有限公司</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无负压设备</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44,247.79</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鹰潭信江给排水工程有限公司</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水表、无负压设备等</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3,156,561.02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鹰潭信江供水有限公司</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水表、无负压设备等</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3,948,338.93</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54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江西川仪三川智慧水务科技有限公司</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水表等</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683,752.13</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spacing w:before="100" w:after="100" w:line="240" w:lineRule="exact"/>
      </w:pPr>
      <w:r>
        <w:rPr>
          <w:rFonts w:ascii="宋体" w:hAnsi="宋体" w:eastAsia="宋体" w:cs="宋体"/>
          <w:sz w:val="18"/>
          <w:szCs w:val="18"/>
        </w:rPr>
        <w:t>购销商品、提供和接受劳务的关联交易说明</w:t>
      </w:r>
    </w:p>
    <w:p>
      <w:pPr>
        <w:keepNext/>
        <w:keepLines/>
        <w:spacing w:before="300" w:after="300" w:line="280" w:lineRule="exact"/>
        <w:outlineLvl w:val="3"/>
        <w:rPr>
          <w:rFonts w:ascii="宋体" w:hAnsi="宋体" w:eastAsia="宋体" w:cs="宋体"/>
          <w:b/>
          <w:bCs/>
          <w:szCs w:val="21"/>
        </w:rPr>
      </w:pPr>
      <w:bookmarkStart w:id="388" w:name="_Toc989270"/>
      <w:r>
        <w:rPr>
          <w:rFonts w:ascii="宋体" w:hAnsi="宋体" w:eastAsia="宋体" w:cs="宋体"/>
          <w:b/>
          <w:bCs/>
          <w:szCs w:val="21"/>
        </w:rPr>
        <w:t>（2） 关联受托管理/承包及委托管理/出包情况</w:t>
      </w:r>
      <w:bookmarkEnd w:id="388"/>
    </w:p>
    <w:p>
      <w:pPr>
        <w:spacing w:before="100" w:after="100" w:line="240" w:lineRule="exact"/>
      </w:pPr>
      <w:r>
        <w:rPr>
          <w:rFonts w:hint="eastAsia" w:ascii="宋体" w:hAnsi="宋体" w:eastAsia="宋体" w:cs="宋体"/>
          <w:sz w:val="18"/>
          <w:szCs w:val="18"/>
        </w:rPr>
        <w:t>无</w:t>
      </w:r>
    </w:p>
    <w:p>
      <w:pPr>
        <w:keepNext/>
        <w:keepLines/>
        <w:spacing w:before="300" w:after="300" w:line="280" w:lineRule="exact"/>
        <w:outlineLvl w:val="3"/>
        <w:rPr>
          <w:rFonts w:ascii="宋体" w:hAnsi="宋体" w:eastAsia="宋体" w:cs="宋体"/>
          <w:b/>
          <w:bCs/>
          <w:szCs w:val="21"/>
        </w:rPr>
      </w:pPr>
      <w:bookmarkStart w:id="389" w:name="_Toc989271"/>
      <w:r>
        <w:rPr>
          <w:rFonts w:ascii="宋体" w:hAnsi="宋体" w:eastAsia="宋体" w:cs="宋体"/>
          <w:b/>
          <w:bCs/>
          <w:szCs w:val="21"/>
        </w:rPr>
        <w:t>（3） 关联租赁情况</w:t>
      </w:r>
      <w:bookmarkEnd w:id="389"/>
    </w:p>
    <w:p>
      <w:pPr>
        <w:spacing w:before="100" w:after="100" w:line="240" w:lineRule="exact"/>
        <w:rPr>
          <w:rFonts w:ascii="宋体" w:hAnsi="宋体" w:eastAsia="宋体" w:cs="宋体"/>
          <w:sz w:val="18"/>
          <w:szCs w:val="18"/>
        </w:rPr>
      </w:pPr>
      <w:r>
        <w:rPr>
          <w:rFonts w:ascii="宋体" w:hAnsi="宋体" w:eastAsia="宋体" w:cs="宋体"/>
          <w:sz w:val="18"/>
          <w:szCs w:val="18"/>
        </w:rPr>
        <w:t>本公司作为出租方：</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承租方名称</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租赁资产种类</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本期确认的租赁收入</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上期确认的租赁收入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江西三川埃尔斯特水表有限公司</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房屋及建筑物</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342,857.14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274,857.14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江西川仪三川智慧水务科技有限公司</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房屋及建筑物</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279,771.43</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279,771.43</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本公司作为承租方：</w:t>
      </w:r>
      <w:r>
        <w:rPr>
          <w:rFonts w:hint="eastAsia" w:ascii="宋体" w:hAnsi="宋体" w:eastAsia="宋体" w:cs="宋体"/>
          <w:sz w:val="18"/>
          <w:szCs w:val="18"/>
        </w:rPr>
        <w:t>无</w:t>
      </w:r>
    </w:p>
    <w:p>
      <w:pPr>
        <w:spacing w:before="100" w:after="100" w:line="240" w:lineRule="exact"/>
      </w:pPr>
      <w:r>
        <w:rPr>
          <w:rFonts w:ascii="宋体" w:hAnsi="宋体" w:eastAsia="宋体" w:cs="宋体"/>
          <w:sz w:val="18"/>
          <w:szCs w:val="18"/>
        </w:rPr>
        <w:t>关联租赁情况说明</w:t>
      </w:r>
    </w:p>
    <w:p>
      <w:pPr>
        <w:keepNext/>
        <w:keepLines/>
        <w:spacing w:before="300" w:after="300" w:line="280" w:lineRule="exact"/>
        <w:outlineLvl w:val="3"/>
        <w:rPr>
          <w:rFonts w:ascii="宋体" w:hAnsi="宋体" w:eastAsia="宋体" w:cs="宋体"/>
          <w:b/>
          <w:bCs/>
          <w:szCs w:val="21"/>
        </w:rPr>
      </w:pPr>
      <w:bookmarkStart w:id="390" w:name="_Toc989272"/>
      <w:r>
        <w:rPr>
          <w:rFonts w:ascii="宋体" w:hAnsi="宋体" w:eastAsia="宋体" w:cs="宋体"/>
          <w:b/>
          <w:bCs/>
          <w:szCs w:val="21"/>
        </w:rPr>
        <w:t>（4） 关联担保情况</w:t>
      </w:r>
      <w:bookmarkEnd w:id="390"/>
    </w:p>
    <w:p>
      <w:pPr>
        <w:spacing w:before="100" w:after="100" w:line="240" w:lineRule="exact"/>
        <w:rPr>
          <w:rFonts w:ascii="宋体" w:hAnsi="宋体" w:eastAsia="宋体" w:cs="宋体"/>
          <w:sz w:val="18"/>
          <w:szCs w:val="18"/>
        </w:rPr>
      </w:pPr>
      <w:r>
        <w:rPr>
          <w:rFonts w:ascii="宋体" w:hAnsi="宋体" w:eastAsia="宋体" w:cs="宋体"/>
          <w:sz w:val="18"/>
          <w:szCs w:val="18"/>
        </w:rPr>
        <w:t>本公司作为担保方</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552"/>
        <w:gridCol w:w="1984"/>
        <w:gridCol w:w="1843"/>
        <w:gridCol w:w="1843"/>
        <w:gridCol w:w="141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被担保方</w:t>
            </w:r>
          </w:p>
        </w:tc>
        <w:tc>
          <w:tcPr>
            <w:tcW w:w="198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担保金额</w:t>
            </w:r>
          </w:p>
        </w:tc>
        <w:tc>
          <w:tcPr>
            <w:tcW w:w="18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担保起始日</w:t>
            </w:r>
          </w:p>
        </w:tc>
        <w:tc>
          <w:tcPr>
            <w:tcW w:w="184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担保到期日</w:t>
            </w:r>
          </w:p>
        </w:tc>
        <w:tc>
          <w:tcPr>
            <w:tcW w:w="14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担保是否已经履行完毕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50,000,000.00</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2022年12月19日</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2023年12月18日</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w:t>
            </w:r>
          </w:p>
        </w:tc>
        <w:tc>
          <w:tcPr>
            <w:tcW w:w="198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49,000,000.00</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2022年12月19日</w:t>
            </w:r>
          </w:p>
        </w:tc>
        <w:tc>
          <w:tcPr>
            <w:tcW w:w="184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2024年12月19日</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本公司作为被担保方</w:t>
      </w:r>
      <w:r>
        <w:rPr>
          <w:rFonts w:hint="eastAsia" w:ascii="宋体" w:hAnsi="宋体" w:eastAsia="宋体" w:cs="宋体"/>
          <w:sz w:val="18"/>
          <w:szCs w:val="18"/>
        </w:rPr>
        <w:t>：无</w:t>
      </w:r>
    </w:p>
    <w:p>
      <w:pPr>
        <w:spacing w:before="100" w:after="100" w:line="240" w:lineRule="exact"/>
        <w:rPr>
          <w:rFonts w:ascii="宋体" w:hAnsi="宋体" w:eastAsia="宋体" w:cs="宋体"/>
          <w:sz w:val="18"/>
          <w:szCs w:val="18"/>
        </w:rPr>
      </w:pPr>
      <w:r>
        <w:rPr>
          <w:rFonts w:ascii="宋体" w:hAnsi="宋体" w:eastAsia="宋体" w:cs="宋体"/>
          <w:sz w:val="18"/>
          <w:szCs w:val="18"/>
        </w:rPr>
        <w:t>关联担保情况说明</w:t>
      </w:r>
    </w:p>
    <w:p>
      <w:pPr>
        <w:pStyle w:val="11"/>
        <w:spacing w:before="40" w:beforeAutospacing="0" w:after="40" w:afterAutospacing="0"/>
        <w:ind w:firstLine="360"/>
        <w:rPr>
          <w:rFonts w:ascii="等线" w:hAnsi="等线" w:eastAsia="等线"/>
          <w:sz w:val="21"/>
          <w:szCs w:val="21"/>
        </w:rPr>
      </w:pPr>
      <w:r>
        <w:rPr>
          <w:rFonts w:hint="eastAsia"/>
          <w:sz w:val="18"/>
          <w:szCs w:val="18"/>
        </w:rPr>
        <w:t>本期公司子公司赣州天和永磁材料有限公司取得九江银行股份有限公司赣州经开区支行2,000万元保证借款，由本公司为赣州天和永磁材料有限公司提供保证担保，由周钢华、陈久昌、舒金澄提供反担保；本期公司子公司赣州天和永磁材料有限公司取得工商银行赣州章江支行1,000万元保证借款，由本公司为赣州天和永磁材料有限公司提供保证担保，由周钢华、陈久昌、舒金澄提供反担保。</w:t>
      </w:r>
    </w:p>
    <w:p>
      <w:pPr>
        <w:keepNext/>
        <w:keepLines/>
        <w:spacing w:before="300" w:after="300" w:line="280" w:lineRule="exact"/>
        <w:outlineLvl w:val="3"/>
        <w:rPr>
          <w:rFonts w:ascii="宋体" w:hAnsi="宋体" w:eastAsia="宋体" w:cs="宋体"/>
          <w:b/>
          <w:bCs/>
          <w:szCs w:val="21"/>
        </w:rPr>
      </w:pPr>
      <w:bookmarkStart w:id="391" w:name="_Toc989273"/>
      <w:r>
        <w:rPr>
          <w:rFonts w:ascii="宋体" w:hAnsi="宋体" w:eastAsia="宋体" w:cs="宋体"/>
          <w:b/>
          <w:bCs/>
          <w:szCs w:val="21"/>
        </w:rPr>
        <w:t>（5） 关联方资金拆借</w:t>
      </w:r>
      <w:bookmarkEnd w:id="391"/>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127"/>
        <w:gridCol w:w="17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关联方</w:t>
            </w:r>
          </w:p>
        </w:tc>
        <w:tc>
          <w:tcPr>
            <w:tcW w:w="17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拆借金额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起始日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到期日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拆入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江西三川集团有限公司</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100,000,000.00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2022年07月04日</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2025年07月03日</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到期一次还本付息，借款利率为5.7%/年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拆出</w:t>
            </w:r>
          </w:p>
        </w:tc>
      </w:tr>
    </w:tbl>
    <w:p>
      <w:pPr>
        <w:keepNext/>
        <w:keepLines/>
        <w:spacing w:before="300" w:after="300" w:line="280" w:lineRule="exact"/>
        <w:outlineLvl w:val="3"/>
        <w:rPr>
          <w:rFonts w:ascii="宋体" w:hAnsi="宋体" w:eastAsia="宋体" w:cs="宋体"/>
          <w:b/>
          <w:bCs/>
          <w:szCs w:val="21"/>
        </w:rPr>
      </w:pPr>
      <w:bookmarkStart w:id="392" w:name="_Toc989274"/>
      <w:r>
        <w:rPr>
          <w:rFonts w:ascii="宋体" w:hAnsi="宋体" w:eastAsia="宋体" w:cs="宋体"/>
          <w:b/>
          <w:bCs/>
          <w:szCs w:val="21"/>
        </w:rPr>
        <w:t>（6） 关联方资产转让、债务重组情况</w:t>
      </w:r>
      <w:bookmarkEnd w:id="392"/>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关联方</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关联交易内容</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周钢华</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赣州天和股权转让</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70,068,000.00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keepNext/>
        <w:keepLines/>
        <w:spacing w:before="300" w:after="300" w:line="280" w:lineRule="exact"/>
        <w:outlineLvl w:val="3"/>
        <w:rPr>
          <w:rFonts w:ascii="宋体" w:hAnsi="宋体" w:eastAsia="宋体" w:cs="宋体"/>
          <w:b/>
          <w:bCs/>
          <w:szCs w:val="21"/>
        </w:rPr>
      </w:pPr>
      <w:bookmarkStart w:id="393" w:name="_Toc989275"/>
      <w:r>
        <w:rPr>
          <w:rFonts w:ascii="宋体" w:hAnsi="宋体" w:eastAsia="宋体" w:cs="宋体"/>
          <w:b/>
          <w:bCs/>
          <w:szCs w:val="21"/>
        </w:rPr>
        <w:t>（7） 关键管理人员报酬</w:t>
      </w:r>
      <w:bookmarkEnd w:id="393"/>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董事、监事、高级管理人员报酬</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3,218,041.44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3,355,390.13</w:t>
            </w:r>
          </w:p>
        </w:tc>
      </w:tr>
    </w:tbl>
    <w:p>
      <w:pPr>
        <w:keepNext/>
        <w:keepLines/>
        <w:spacing w:before="300" w:after="300" w:line="280" w:lineRule="exact"/>
        <w:outlineLvl w:val="3"/>
        <w:rPr>
          <w:rFonts w:ascii="宋体" w:hAnsi="宋体" w:eastAsia="宋体" w:cs="宋体"/>
          <w:b/>
          <w:bCs/>
          <w:szCs w:val="21"/>
        </w:rPr>
      </w:pPr>
      <w:bookmarkStart w:id="394" w:name="_Toc989276"/>
      <w:r>
        <w:rPr>
          <w:rFonts w:ascii="宋体" w:hAnsi="宋体" w:eastAsia="宋体" w:cs="宋体"/>
          <w:b/>
          <w:bCs/>
          <w:szCs w:val="21"/>
        </w:rPr>
        <w:t>（8） 其他关联交易</w:t>
      </w:r>
      <w:bookmarkEnd w:id="394"/>
    </w:p>
    <w:p>
      <w:pPr>
        <w:pStyle w:val="11"/>
        <w:spacing w:before="40" w:beforeAutospacing="0" w:after="40" w:afterAutospacing="0"/>
        <w:ind w:firstLine="360"/>
        <w:rPr>
          <w:rFonts w:ascii="等线" w:hAnsi="等线" w:eastAsia="等线"/>
          <w:sz w:val="21"/>
          <w:szCs w:val="21"/>
        </w:rPr>
      </w:pPr>
      <w:r>
        <w:rPr>
          <w:rFonts w:hint="eastAsia"/>
          <w:sz w:val="18"/>
          <w:szCs w:val="18"/>
        </w:rPr>
        <w:t>（1）2022年6月27日，公司控股股东三川集团与自然人周钢华签署了《股份转让协议》。三川集团将其合法持有的52,001,664 股三川智慧无限售流通股通过协议转让的方式转让给自然人周钢华，转让股份占公司股本总额的 5.00%。本次股份协议转让总价款为 244,927,837.44元，对应转让价格为 4.71 元/股。交易完成后，交易对方周钢华持有上市公司5%股份，为持股超过5%以上的股东，成为上市公司的关联方，本次交易构成关联交易。</w:t>
      </w:r>
    </w:p>
    <w:p>
      <w:pPr>
        <w:pStyle w:val="11"/>
        <w:spacing w:before="40" w:beforeAutospacing="0" w:after="40" w:afterAutospacing="0"/>
        <w:ind w:firstLine="360"/>
        <w:rPr>
          <w:rFonts w:ascii="等线" w:hAnsi="等线" w:eastAsia="等线"/>
          <w:sz w:val="21"/>
          <w:szCs w:val="21"/>
        </w:rPr>
      </w:pPr>
      <w:r>
        <w:rPr>
          <w:rFonts w:hint="eastAsia"/>
          <w:sz w:val="18"/>
          <w:szCs w:val="18"/>
        </w:rPr>
        <w:t>（2）2022年8月5日，公司第六届董事会第二十三次会议，审议通过了《关于设立赣州川宇国际贸易有限公司的议案》，同意公司与北京铂宇天地科技发展有限公司（以下简称“北京铂宇”）、周钢华、舒金澄及郑田田签署《赣州川宇国际贸易有限公司出资人协议书》，确认共同出资人民币10,000万元，设立“赣州川宇国际贸易有限公司”，开展稀土矿产品进出口贸易业务。其中公司出资5,500万元，出资比例为55%；北京铂宇出资1,000万元，出资比例为10%；周钢华出资2,000万元，出资比例为20%；舒金澄出资1,000万元，出资比例为10%；郑田田出资500万元，出资比例为 5%。周钢华持有三川智慧5%股份，为公司关联方，郑田田曾担任公司第六届董事会董事，离任不满一年，亦属于公司关联方，本次对外投资事项构成共同对外投资的关联交易。</w:t>
      </w:r>
    </w:p>
    <w:p>
      <w:pPr>
        <w:pStyle w:val="11"/>
        <w:spacing w:before="40" w:beforeAutospacing="0" w:after="40" w:afterAutospacing="0"/>
        <w:ind w:firstLine="360"/>
        <w:rPr>
          <w:rFonts w:ascii="等线" w:hAnsi="等线" w:eastAsia="等线"/>
          <w:sz w:val="21"/>
          <w:szCs w:val="21"/>
        </w:rPr>
      </w:pPr>
      <w:r>
        <w:rPr>
          <w:rFonts w:hint="eastAsia"/>
          <w:sz w:val="18"/>
          <w:szCs w:val="18"/>
        </w:rPr>
        <w:t>（3）2022年6月28日，公司第六届董事会第二十二次会议审议通过《年产500万只水表智能工厂建设项目》的议案，批准公司实施“年产500万只水表智能工厂建设项目”。关于确定项目实施单位，公司通过邀请招标方式择优选定中旷建设集团有限公司（以下简称“中旷建设”）。因中旷建设系三川实业的全资子公司，公司控股股东三川集团持有三川实业51%的股权，本公司持有三川实业46%的股权，因此中旷建设与公司构成关联关系，公司与中旷建设集团有限公司签订建设工程施工合同构成关联交易。</w:t>
      </w:r>
    </w:p>
    <w:p>
      <w:pPr>
        <w:pStyle w:val="4"/>
        <w:spacing w:line="280" w:lineRule="exact"/>
        <w:jc w:val="left"/>
        <w:rPr>
          <w:rFonts w:ascii="宋体" w:hAnsi="宋体" w:cs="宋体"/>
          <w:b/>
          <w:bCs/>
        </w:rPr>
      </w:pPr>
      <w:bookmarkStart w:id="395" w:name="_Toc989277"/>
      <w:r>
        <w:rPr>
          <w:rFonts w:ascii="宋体" w:hAnsi="宋体" w:cs="宋体"/>
          <w:b/>
          <w:bCs/>
        </w:rPr>
        <w:t>6、关联方应收应付款项</w:t>
      </w:r>
      <w:bookmarkEnd w:id="395"/>
    </w:p>
    <w:p>
      <w:pPr>
        <w:keepNext/>
        <w:keepLines/>
        <w:spacing w:before="300" w:after="300" w:line="280" w:lineRule="exact"/>
        <w:outlineLvl w:val="3"/>
        <w:rPr>
          <w:rFonts w:ascii="宋体" w:hAnsi="宋体" w:eastAsia="宋体" w:cs="宋体"/>
          <w:b/>
          <w:bCs/>
          <w:szCs w:val="21"/>
        </w:rPr>
      </w:pPr>
      <w:bookmarkStart w:id="396" w:name="_Toc989278"/>
      <w:r>
        <w:rPr>
          <w:rFonts w:ascii="宋体" w:hAnsi="宋体" w:eastAsia="宋体" w:cs="宋体"/>
          <w:b/>
          <w:bCs/>
          <w:szCs w:val="21"/>
        </w:rPr>
        <w:t>（1） 应收项目</w:t>
      </w:r>
      <w:bookmarkEnd w:id="396"/>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76"/>
        <w:gridCol w:w="2977"/>
        <w:gridCol w:w="1417"/>
        <w:gridCol w:w="1418"/>
        <w:gridCol w:w="1417"/>
        <w:gridCol w:w="113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项目名称</w:t>
            </w:r>
          </w:p>
        </w:tc>
        <w:tc>
          <w:tcPr>
            <w:tcW w:w="29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关联方</w:t>
            </w:r>
          </w:p>
        </w:tc>
        <w:tc>
          <w:tcPr>
            <w:tcW w:w="2835"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2551"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9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4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4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13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应收账款</w:t>
            </w:r>
          </w:p>
        </w:tc>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鹰潭市供水集团有限公司</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157,023.76</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7,851.19</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197,023.76</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16,010.48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应收账款</w:t>
            </w:r>
          </w:p>
        </w:tc>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鹰潭市信江水务工程有限公司</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594,277.43</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99,707.07</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414,190.43</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100,749.13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应收账款</w:t>
            </w:r>
          </w:p>
        </w:tc>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中旷建设集团有限公司</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209,880.00</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10,494.00</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912,914.00</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45,645.70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应收账款</w:t>
            </w:r>
          </w:p>
        </w:tc>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北京天川智联科技有限责任公司</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8,095,405.31</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404,770.27</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5,836,859.30</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291,842.97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应收账款</w:t>
            </w:r>
          </w:p>
        </w:tc>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山西万家寨三合智慧科技有限公司</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3,400,056.00</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170,002.80</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1,242,610.40</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62,130.52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应收账款</w:t>
            </w:r>
          </w:p>
        </w:tc>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江西汉和企业发展有限公司</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29,009.70</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2,900.97</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29,009.70</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1,450.49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应收账款</w:t>
            </w:r>
          </w:p>
        </w:tc>
        <w:tc>
          <w:tcPr>
            <w:tcW w:w="29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鹰潭信江给排水工程有限公司</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2,260,195.00</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113,009.75</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keepNext/>
        <w:keepLines/>
        <w:spacing w:before="300" w:after="300" w:line="280" w:lineRule="exact"/>
        <w:outlineLvl w:val="3"/>
        <w:rPr>
          <w:rFonts w:ascii="宋体" w:hAnsi="宋体" w:eastAsia="宋体" w:cs="宋体"/>
          <w:b/>
          <w:bCs/>
          <w:szCs w:val="21"/>
        </w:rPr>
      </w:pPr>
      <w:bookmarkStart w:id="397" w:name="_Toc989279"/>
      <w:r>
        <w:rPr>
          <w:rFonts w:ascii="宋体" w:hAnsi="宋体" w:eastAsia="宋体" w:cs="宋体"/>
          <w:b/>
          <w:bCs/>
          <w:szCs w:val="21"/>
        </w:rPr>
        <w:t>（2） 应付项目</w:t>
      </w:r>
      <w:bookmarkEnd w:id="397"/>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85"/>
        <w:gridCol w:w="3118"/>
        <w:gridCol w:w="2126"/>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8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项目名称</w:t>
            </w:r>
          </w:p>
        </w:tc>
        <w:tc>
          <w:tcPr>
            <w:tcW w:w="31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关联方</w:t>
            </w:r>
          </w:p>
        </w:tc>
        <w:tc>
          <w:tcPr>
            <w:tcW w:w="212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期末账面余额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期初账面余额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8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应付账款</w:t>
            </w:r>
          </w:p>
        </w:tc>
        <w:tc>
          <w:tcPr>
            <w:tcW w:w="31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江西三川新能源有限公司</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17,108.54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17,108.54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8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应付账款</w:t>
            </w:r>
          </w:p>
        </w:tc>
        <w:tc>
          <w:tcPr>
            <w:tcW w:w="31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江西川仪三川智慧水务科技有限公司</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1,533,315.04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869,125.67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8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应付账款</w:t>
            </w:r>
          </w:p>
        </w:tc>
        <w:tc>
          <w:tcPr>
            <w:tcW w:w="31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江西三川节能股份有限公司</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3,000.00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87,440.00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8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应付账款</w:t>
            </w:r>
          </w:p>
        </w:tc>
        <w:tc>
          <w:tcPr>
            <w:tcW w:w="31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赣州集盛科技有限责任公司</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0.50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8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长期应付款</w:t>
            </w:r>
          </w:p>
        </w:tc>
        <w:tc>
          <w:tcPr>
            <w:tcW w:w="31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江西三川集团有限公司</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102,311,666.66</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pStyle w:val="4"/>
        <w:spacing w:line="280" w:lineRule="exact"/>
        <w:jc w:val="left"/>
        <w:rPr>
          <w:rFonts w:ascii="宋体" w:hAnsi="宋体" w:cs="宋体"/>
          <w:b/>
          <w:bCs/>
        </w:rPr>
      </w:pPr>
      <w:bookmarkStart w:id="398" w:name="_Toc989280"/>
      <w:r>
        <w:rPr>
          <w:rFonts w:ascii="宋体" w:hAnsi="宋体" w:cs="宋体"/>
          <w:b/>
          <w:bCs/>
        </w:rPr>
        <w:t>7、关联方承诺</w:t>
      </w:r>
      <w:bookmarkEnd w:id="398"/>
    </w:p>
    <w:p>
      <w:pPr>
        <w:pStyle w:val="11"/>
        <w:spacing w:before="40" w:beforeAutospacing="0" w:after="40" w:afterAutospacing="0"/>
        <w:ind w:firstLine="360"/>
        <w:rPr>
          <w:rFonts w:ascii="等线" w:hAnsi="等线" w:eastAsia="等线"/>
          <w:sz w:val="21"/>
          <w:szCs w:val="21"/>
        </w:rPr>
      </w:pPr>
      <w:r>
        <w:rPr>
          <w:rFonts w:hint="eastAsia"/>
          <w:sz w:val="18"/>
          <w:szCs w:val="18"/>
        </w:rPr>
        <w:t>2022年7月，公司以自有资金购买陈久昌、周钢华和舒金澄合计持有的购买赣州天和永磁材料有限公司（以下简称“赣州天和”）67.00%股权，本次交易完成后，公司持有赣州天和67%股权，赣州天和成为公司控股子公司，纳入公司合并报表范围。周钢华为持有公司股份超过5%以上的股东，系本公司的关联方，本次交易构成关联交易。陈久昌、周钢华和舒金澄承诺赣州天和（含合并报表的子公司）2022年、2023年和2024年实现经审计后的实际净利润分别不低于人民币3,600万元、4,100万元和4,600万元，三年累计实际净利润不低于12,300万元。</w:t>
      </w:r>
    </w:p>
    <w:p>
      <w:pPr>
        <w:pStyle w:val="3"/>
        <w:spacing w:before="300" w:after="300" w:line="320" w:lineRule="exact"/>
        <w:rPr>
          <w:rFonts w:ascii="宋体" w:hAnsi="宋体" w:eastAsia="宋体" w:cs="宋体"/>
          <w:b/>
          <w:bCs/>
          <w:sz w:val="24"/>
          <w:szCs w:val="24"/>
        </w:rPr>
      </w:pPr>
      <w:bookmarkStart w:id="399" w:name="_Toc989281"/>
      <w:r>
        <w:rPr>
          <w:rFonts w:ascii="宋体" w:hAnsi="宋体" w:eastAsia="宋体" w:cs="宋体"/>
          <w:b/>
          <w:bCs/>
          <w:sz w:val="24"/>
          <w:szCs w:val="24"/>
        </w:rPr>
        <w:t>十三、股份支付</w:t>
      </w:r>
      <w:bookmarkEnd w:id="399"/>
    </w:p>
    <w:p>
      <w:pPr>
        <w:pStyle w:val="4"/>
        <w:spacing w:line="280" w:lineRule="exact"/>
        <w:jc w:val="left"/>
        <w:rPr>
          <w:rFonts w:ascii="宋体" w:hAnsi="宋体" w:cs="宋体"/>
          <w:b/>
          <w:bCs/>
        </w:rPr>
      </w:pPr>
      <w:bookmarkStart w:id="400" w:name="_Toc989282"/>
      <w:r>
        <w:rPr>
          <w:rFonts w:ascii="宋体" w:hAnsi="宋体" w:cs="宋体"/>
          <w:b/>
          <w:bCs/>
        </w:rPr>
        <w:t>1、股份支付总体情况</w:t>
      </w:r>
      <w:bookmarkEnd w:id="400"/>
    </w:p>
    <w:p>
      <w:pPr>
        <w:spacing w:before="40" w:after="40" w:line="240" w:lineRule="exact"/>
        <w:rPr>
          <w:rFonts w:ascii="宋体" w:hAnsi="宋体" w:eastAsia="宋体" w:cs="宋体"/>
          <w:sz w:val="18"/>
          <w:szCs w:val="18"/>
        </w:rPr>
      </w:pPr>
      <w:r>
        <w:rPr>
          <w:szCs w:val="24"/>
        </w:rPr>
        <w:t>√</w:t>
      </w:r>
      <w:r>
        <w:rPr>
          <w:rFonts w:ascii="宋体" w:hAnsi="宋体" w:eastAsia="宋体" w:cs="宋体"/>
          <w:sz w:val="18"/>
          <w:szCs w:val="18"/>
        </w:rPr>
        <w:t>适用 □不适用</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公司本期授予的各项权益工具总额</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公司本期行权的各项权益工具总额</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公司本期失效的各项权益工具总额</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公司期末发行在外的股票期权行权价格的范围和合同剩余期限</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不适用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公司期末发行在外的其他权益工具行权价格的范围和合同剩余期限</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不适用</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其他说明：</w:t>
      </w:r>
    </w:p>
    <w:p>
      <w:pPr>
        <w:pStyle w:val="11"/>
        <w:spacing w:before="40" w:beforeAutospacing="0" w:after="40" w:afterAutospacing="0"/>
        <w:ind w:firstLine="360"/>
        <w:rPr>
          <w:rFonts w:ascii="等线" w:hAnsi="等线" w:eastAsia="等线"/>
          <w:sz w:val="21"/>
          <w:szCs w:val="21"/>
        </w:rPr>
      </w:pPr>
      <w:r>
        <w:rPr>
          <w:rFonts w:hint="eastAsia"/>
          <w:sz w:val="18"/>
          <w:szCs w:val="18"/>
        </w:rPr>
        <w:t>公司于2020年8月21日召开第六届董事会第三次会议，审议通过了《关于对三川国德核心人员实行股权激励的议案》，基于杭州三川国德物联网科技有限公司（以下简称“三川国德”）近年来的良好发展态势，为充分调动其核心管理人员和技术人员的积极性与创造性，公司决定将所持有的三川国德19.50%的股权以人民币35万元的对价授予给三川国德的核心管理与技术人员，被授予对象须承诺，自股权变更登记手续办理完毕之日起，其持续在三川国德或公司所属机构工作不少于5年，并且在三川国德有关问题的决策上以及三川国德董事会、股东会就所审议事项作出决议时与公司保持一致。在承诺有效期内，被授予对象不得以任何方式处分所受让的股权，包括股权转让、抵押、以股权出资等。如被授予对象违反上述承诺，公司有权要求其将本次受让的股权按原受让价转让给公司或公司指定的第三方。</w:t>
      </w:r>
    </w:p>
    <w:p>
      <w:pPr>
        <w:pStyle w:val="4"/>
        <w:spacing w:line="280" w:lineRule="exact"/>
        <w:jc w:val="left"/>
        <w:rPr>
          <w:rFonts w:ascii="宋体" w:hAnsi="宋体" w:cs="宋体"/>
          <w:b/>
          <w:bCs/>
        </w:rPr>
      </w:pPr>
      <w:bookmarkStart w:id="401" w:name="_Toc989283"/>
      <w:r>
        <w:rPr>
          <w:rFonts w:ascii="宋体" w:hAnsi="宋体" w:cs="宋体"/>
          <w:b/>
          <w:bCs/>
        </w:rPr>
        <w:t>2、以权益结算的股份支付情况</w:t>
      </w:r>
      <w:bookmarkEnd w:id="401"/>
    </w:p>
    <w:p>
      <w:pPr>
        <w:spacing w:before="40" w:after="40" w:line="240" w:lineRule="exact"/>
        <w:rPr>
          <w:rFonts w:ascii="宋体" w:hAnsi="宋体" w:eastAsia="宋体" w:cs="宋体"/>
          <w:sz w:val="18"/>
          <w:szCs w:val="18"/>
        </w:rPr>
      </w:pPr>
      <w:r>
        <w:rPr>
          <w:szCs w:val="24"/>
        </w:rPr>
        <w:t>√</w:t>
      </w:r>
      <w:r>
        <w:rPr>
          <w:rFonts w:ascii="宋体" w:hAnsi="宋体" w:eastAsia="宋体" w:cs="宋体"/>
          <w:sz w:val="18"/>
          <w:szCs w:val="18"/>
        </w:rPr>
        <w:t>适用 □不适用</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授予日权益工具公允价值的确定方法</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100%股权预计未来现金流量的现值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可行权权益工具数量的确定依据</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根据实际行权数量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本期估计与上期估计有重大差异的原因</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以权益结算的股份支付计入资本公积的累计金额</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1,885,062.44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本期以权益结算的股份支付确认的费用总额</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780,025.84</w:t>
            </w:r>
          </w:p>
        </w:tc>
      </w:tr>
    </w:tbl>
    <w:p>
      <w:pPr>
        <w:spacing w:before="100" w:after="100" w:line="240" w:lineRule="exact"/>
      </w:pPr>
      <w:r>
        <w:rPr>
          <w:rFonts w:ascii="宋体" w:hAnsi="宋体" w:eastAsia="宋体" w:cs="宋体"/>
          <w:sz w:val="18"/>
          <w:szCs w:val="18"/>
        </w:rPr>
        <w:t>其他说明：</w:t>
      </w:r>
    </w:p>
    <w:p>
      <w:pPr>
        <w:pStyle w:val="3"/>
        <w:spacing w:before="300" w:after="300" w:line="320" w:lineRule="exact"/>
        <w:rPr>
          <w:rFonts w:ascii="宋体" w:hAnsi="宋体" w:eastAsia="宋体" w:cs="宋体"/>
          <w:b/>
          <w:bCs/>
          <w:sz w:val="24"/>
          <w:szCs w:val="24"/>
        </w:rPr>
      </w:pPr>
      <w:bookmarkStart w:id="402" w:name="_Toc989284"/>
      <w:r>
        <w:rPr>
          <w:rFonts w:ascii="宋体" w:hAnsi="宋体" w:eastAsia="宋体" w:cs="宋体"/>
          <w:b/>
          <w:bCs/>
          <w:sz w:val="24"/>
          <w:szCs w:val="24"/>
        </w:rPr>
        <w:t>十四、承诺及或有事项</w:t>
      </w:r>
      <w:bookmarkEnd w:id="402"/>
    </w:p>
    <w:p>
      <w:pPr>
        <w:pStyle w:val="4"/>
        <w:spacing w:line="280" w:lineRule="exact"/>
        <w:jc w:val="left"/>
        <w:rPr>
          <w:rFonts w:ascii="宋体" w:hAnsi="宋体" w:cs="宋体"/>
          <w:b/>
          <w:bCs/>
        </w:rPr>
      </w:pPr>
      <w:bookmarkStart w:id="403" w:name="_Toc989285"/>
      <w:r>
        <w:rPr>
          <w:rFonts w:ascii="宋体" w:hAnsi="宋体" w:cs="宋体"/>
          <w:b/>
          <w:bCs/>
        </w:rPr>
        <w:t>1、重要承诺事项</w:t>
      </w:r>
      <w:bookmarkEnd w:id="403"/>
    </w:p>
    <w:p>
      <w:pPr>
        <w:spacing w:before="100" w:after="100" w:line="240" w:lineRule="exact"/>
        <w:rPr>
          <w:rFonts w:ascii="宋体" w:hAnsi="宋体" w:eastAsia="宋体" w:cs="宋体"/>
          <w:sz w:val="18"/>
          <w:szCs w:val="18"/>
        </w:rPr>
      </w:pPr>
      <w:r>
        <w:rPr>
          <w:rFonts w:ascii="宋体" w:hAnsi="宋体" w:eastAsia="宋体" w:cs="宋体"/>
          <w:sz w:val="18"/>
          <w:szCs w:val="18"/>
        </w:rPr>
        <w:t>资产负债表日存在的重要承诺</w:t>
      </w:r>
    </w:p>
    <w:p>
      <w:pPr>
        <w:pStyle w:val="11"/>
        <w:rPr>
          <w:sz w:val="18"/>
          <w:szCs w:val="18"/>
        </w:rPr>
      </w:pPr>
      <w:r>
        <w:rPr>
          <w:rFonts w:hint="eastAsia"/>
          <w:sz w:val="18"/>
          <w:szCs w:val="18"/>
        </w:rPr>
        <w:t>无</w:t>
      </w:r>
    </w:p>
    <w:p>
      <w:pPr>
        <w:pStyle w:val="4"/>
        <w:spacing w:line="280" w:lineRule="exact"/>
        <w:jc w:val="left"/>
        <w:rPr>
          <w:rFonts w:ascii="宋体" w:hAnsi="宋体" w:cs="宋体"/>
          <w:b/>
          <w:bCs/>
        </w:rPr>
      </w:pPr>
      <w:bookmarkStart w:id="404" w:name="_Toc989286"/>
      <w:r>
        <w:rPr>
          <w:rFonts w:ascii="宋体" w:hAnsi="宋体" w:cs="宋体"/>
          <w:b/>
          <w:bCs/>
        </w:rPr>
        <w:t>2、或有事项</w:t>
      </w:r>
      <w:bookmarkEnd w:id="404"/>
    </w:p>
    <w:p>
      <w:pPr>
        <w:keepNext/>
        <w:keepLines/>
        <w:spacing w:before="300" w:after="300" w:line="280" w:lineRule="exact"/>
        <w:outlineLvl w:val="3"/>
        <w:rPr>
          <w:rFonts w:ascii="宋体" w:hAnsi="宋体" w:eastAsia="宋体" w:cs="宋体"/>
          <w:b/>
          <w:bCs/>
          <w:szCs w:val="21"/>
        </w:rPr>
      </w:pPr>
      <w:bookmarkStart w:id="405" w:name="_Toc989287"/>
      <w:r>
        <w:rPr>
          <w:rFonts w:ascii="宋体" w:hAnsi="宋体" w:eastAsia="宋体" w:cs="宋体"/>
          <w:b/>
          <w:bCs/>
          <w:szCs w:val="21"/>
        </w:rPr>
        <w:t>（1） 资产负债表日存在的重要或有事项</w:t>
      </w:r>
      <w:bookmarkEnd w:id="405"/>
    </w:p>
    <w:p>
      <w:pPr>
        <w:pStyle w:val="11"/>
        <w:rPr>
          <w:sz w:val="18"/>
          <w:szCs w:val="18"/>
        </w:rPr>
      </w:pPr>
      <w:r>
        <w:rPr>
          <w:rFonts w:hint="eastAsia"/>
          <w:sz w:val="18"/>
          <w:szCs w:val="18"/>
        </w:rPr>
        <w:t>无</w:t>
      </w:r>
    </w:p>
    <w:p>
      <w:pPr>
        <w:keepNext/>
        <w:keepLines/>
        <w:spacing w:before="300" w:after="300" w:line="280" w:lineRule="exact"/>
        <w:outlineLvl w:val="3"/>
        <w:rPr>
          <w:rFonts w:ascii="宋体" w:hAnsi="宋体" w:eastAsia="宋体" w:cs="宋体"/>
          <w:b/>
          <w:bCs/>
          <w:szCs w:val="21"/>
        </w:rPr>
      </w:pPr>
      <w:bookmarkStart w:id="406" w:name="_Toc989288"/>
      <w:r>
        <w:rPr>
          <w:rFonts w:ascii="宋体" w:hAnsi="宋体" w:eastAsia="宋体" w:cs="宋体"/>
          <w:b/>
          <w:bCs/>
          <w:szCs w:val="21"/>
        </w:rPr>
        <w:t>（2） 公司没有需要披露的重要或有事项，也应予以说明</w:t>
      </w:r>
      <w:bookmarkEnd w:id="406"/>
    </w:p>
    <w:p>
      <w:pPr>
        <w:spacing w:before="40" w:after="40" w:line="240" w:lineRule="exact"/>
        <w:rPr>
          <w:rFonts w:ascii="宋体" w:hAnsi="宋体" w:eastAsia="宋体" w:cs="宋体"/>
          <w:sz w:val="18"/>
          <w:szCs w:val="18"/>
        </w:rPr>
      </w:pPr>
      <w:r>
        <w:rPr>
          <w:rFonts w:ascii="宋体" w:hAnsi="宋体" w:eastAsia="宋体" w:cs="宋体"/>
          <w:sz w:val="18"/>
          <w:szCs w:val="18"/>
        </w:rPr>
        <w:t>公司不存在需要披露的重要或有事项。</w:t>
      </w:r>
    </w:p>
    <w:p>
      <w:pPr>
        <w:pStyle w:val="3"/>
        <w:spacing w:before="300" w:after="300" w:line="320" w:lineRule="exact"/>
        <w:rPr>
          <w:rFonts w:ascii="宋体" w:hAnsi="宋体" w:eastAsia="宋体" w:cs="宋体"/>
          <w:b/>
          <w:bCs/>
          <w:sz w:val="24"/>
          <w:szCs w:val="24"/>
        </w:rPr>
      </w:pPr>
      <w:bookmarkStart w:id="407" w:name="_Toc989289"/>
      <w:r>
        <w:rPr>
          <w:rFonts w:ascii="宋体" w:hAnsi="宋体" w:eastAsia="宋体" w:cs="宋体"/>
          <w:b/>
          <w:bCs/>
          <w:sz w:val="24"/>
          <w:szCs w:val="24"/>
        </w:rPr>
        <w:t>十五、资产负债表日后事项</w:t>
      </w:r>
      <w:bookmarkEnd w:id="407"/>
    </w:p>
    <w:p>
      <w:pPr>
        <w:pStyle w:val="4"/>
        <w:spacing w:line="280" w:lineRule="exact"/>
        <w:jc w:val="left"/>
        <w:rPr>
          <w:rFonts w:ascii="宋体" w:hAnsi="宋体" w:cs="宋体"/>
          <w:b/>
          <w:bCs/>
        </w:rPr>
      </w:pPr>
      <w:bookmarkStart w:id="408" w:name="_Toc989290"/>
      <w:r>
        <w:rPr>
          <w:rFonts w:ascii="宋体" w:hAnsi="宋体" w:cs="宋体"/>
          <w:b/>
          <w:bCs/>
        </w:rPr>
        <w:t>1、重要的非调整事项</w:t>
      </w:r>
      <w:bookmarkEnd w:id="408"/>
    </w:p>
    <w:p>
      <w:pPr>
        <w:pStyle w:val="4"/>
        <w:spacing w:line="280" w:lineRule="exact"/>
        <w:jc w:val="left"/>
        <w:rPr>
          <w:rFonts w:ascii="宋体" w:hAnsi="宋体" w:cs="宋体"/>
          <w:b/>
          <w:bCs/>
        </w:rPr>
      </w:pPr>
      <w:bookmarkStart w:id="409" w:name="_Toc989291"/>
      <w:r>
        <w:rPr>
          <w:rFonts w:ascii="宋体" w:hAnsi="宋体" w:cs="宋体"/>
          <w:b/>
          <w:bCs/>
        </w:rPr>
        <w:t>2、利润分配情况</w:t>
      </w:r>
      <w:bookmarkEnd w:id="409"/>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拟分配的利润或股利</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31,200,997.86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经审议批准宣告发放的利润或股利</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利润分配方案</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以2022年12月31日总股本1,040,033,262股为基数，向全体股东每10股派发现金红利0.3元（含税），共计派发现金红利31,200,997.86元。</w:t>
            </w:r>
          </w:p>
        </w:tc>
      </w:tr>
    </w:tbl>
    <w:p>
      <w:pPr>
        <w:pStyle w:val="4"/>
        <w:spacing w:line="280" w:lineRule="exact"/>
        <w:jc w:val="left"/>
        <w:rPr>
          <w:rFonts w:ascii="宋体" w:hAnsi="宋体" w:cs="宋体"/>
          <w:b/>
          <w:bCs/>
        </w:rPr>
      </w:pPr>
      <w:bookmarkStart w:id="410" w:name="_Toc989292"/>
      <w:r>
        <w:rPr>
          <w:rFonts w:ascii="宋体" w:hAnsi="宋体" w:cs="宋体"/>
          <w:b/>
          <w:bCs/>
        </w:rPr>
        <w:t>3、销售退回</w:t>
      </w:r>
      <w:bookmarkEnd w:id="410"/>
    </w:p>
    <w:p>
      <w:pPr>
        <w:pStyle w:val="4"/>
        <w:spacing w:line="280" w:lineRule="exact"/>
        <w:jc w:val="left"/>
        <w:rPr>
          <w:rFonts w:ascii="宋体" w:hAnsi="宋体" w:cs="宋体"/>
          <w:b/>
          <w:bCs/>
        </w:rPr>
      </w:pPr>
      <w:bookmarkStart w:id="411" w:name="_Toc989293"/>
      <w:r>
        <w:rPr>
          <w:rFonts w:ascii="宋体" w:hAnsi="宋体" w:cs="宋体"/>
          <w:b/>
          <w:bCs/>
        </w:rPr>
        <w:t>4、其他资产负债表日后事项说明</w:t>
      </w:r>
      <w:bookmarkEnd w:id="411"/>
    </w:p>
    <w:p>
      <w:pPr>
        <w:pStyle w:val="11"/>
        <w:spacing w:before="40" w:beforeAutospacing="0" w:after="40" w:afterAutospacing="0"/>
        <w:ind w:firstLine="357"/>
        <w:rPr>
          <w:rFonts w:ascii="等线" w:hAnsi="等线" w:eastAsia="等线"/>
          <w:sz w:val="21"/>
          <w:szCs w:val="21"/>
        </w:rPr>
      </w:pPr>
      <w:r>
        <w:rPr>
          <w:rFonts w:hint="eastAsia"/>
          <w:sz w:val="18"/>
          <w:szCs w:val="18"/>
        </w:rPr>
        <w:t>公司股东周钢华于</w:t>
      </w:r>
      <w:r>
        <w:rPr>
          <w:sz w:val="18"/>
          <w:szCs w:val="18"/>
        </w:rPr>
        <w:t>2023年3月9日减持本公司股份5,150,000股，于2023年3月23日减持本公司股份700,000股，于2023年3月24日减持本公司股份9,393,000股，合计减持15,243,000股，占公司股份总数的1.4656%。减持完成后，周钢华持有本公司股份数量36,758,664股，占公司股份总数的3.5344%。</w:t>
      </w:r>
    </w:p>
    <w:p>
      <w:pPr>
        <w:pStyle w:val="3"/>
        <w:spacing w:before="300" w:after="300" w:line="320" w:lineRule="exact"/>
        <w:rPr>
          <w:rFonts w:ascii="宋体" w:hAnsi="宋体" w:eastAsia="宋体" w:cs="宋体"/>
          <w:b/>
          <w:bCs/>
          <w:sz w:val="24"/>
          <w:szCs w:val="24"/>
        </w:rPr>
      </w:pPr>
      <w:bookmarkStart w:id="412" w:name="_Toc989294"/>
      <w:r>
        <w:rPr>
          <w:rFonts w:ascii="宋体" w:hAnsi="宋体" w:eastAsia="宋体" w:cs="宋体"/>
          <w:b/>
          <w:bCs/>
          <w:sz w:val="24"/>
          <w:szCs w:val="24"/>
        </w:rPr>
        <w:t>十六、其他重要事项</w:t>
      </w:r>
      <w:bookmarkEnd w:id="412"/>
    </w:p>
    <w:p>
      <w:pPr>
        <w:pStyle w:val="4"/>
        <w:numPr>
          <w:ilvl w:val="0"/>
          <w:numId w:val="2"/>
        </w:numPr>
        <w:spacing w:line="280" w:lineRule="exact"/>
        <w:jc w:val="left"/>
        <w:rPr>
          <w:rFonts w:ascii="宋体" w:hAnsi="宋体" w:cs="宋体"/>
          <w:b/>
          <w:bCs/>
        </w:rPr>
      </w:pPr>
      <w:bookmarkStart w:id="413" w:name="_Toc989295"/>
      <w:r>
        <w:rPr>
          <w:rFonts w:ascii="宋体" w:hAnsi="宋体" w:cs="宋体"/>
          <w:b/>
          <w:bCs/>
        </w:rPr>
        <w:t>前期会计差错更正</w:t>
      </w:r>
      <w:bookmarkEnd w:id="413"/>
    </w:p>
    <w:p>
      <w:pPr>
        <w:pStyle w:val="11"/>
        <w:spacing w:before="0" w:beforeAutospacing="0" w:after="0" w:afterAutospacing="0"/>
        <w:rPr>
          <w:sz w:val="18"/>
          <w:szCs w:val="18"/>
        </w:rPr>
      </w:pPr>
      <w:r>
        <w:rPr>
          <w:rFonts w:hint="eastAsia"/>
          <w:sz w:val="18"/>
          <w:szCs w:val="18"/>
        </w:rPr>
        <w:t>无</w:t>
      </w:r>
    </w:p>
    <w:p>
      <w:pPr>
        <w:pStyle w:val="4"/>
        <w:spacing w:line="280" w:lineRule="exact"/>
        <w:jc w:val="left"/>
      </w:pPr>
      <w:bookmarkStart w:id="414" w:name="_Toc989298"/>
      <w:r>
        <w:rPr>
          <w:rFonts w:ascii="宋体" w:hAnsi="宋体" w:cs="宋体"/>
          <w:b/>
          <w:bCs/>
        </w:rPr>
        <w:t>2、债务重组</w:t>
      </w:r>
      <w:bookmarkEnd w:id="414"/>
    </w:p>
    <w:p>
      <w:pPr>
        <w:pStyle w:val="4"/>
        <w:spacing w:line="280" w:lineRule="exact"/>
        <w:jc w:val="left"/>
        <w:rPr>
          <w:rFonts w:ascii="宋体" w:hAnsi="宋体" w:cs="宋体"/>
          <w:b/>
          <w:bCs/>
        </w:rPr>
      </w:pPr>
      <w:bookmarkStart w:id="415" w:name="_Toc989299"/>
      <w:r>
        <w:rPr>
          <w:rFonts w:ascii="宋体" w:hAnsi="宋体" w:cs="宋体"/>
          <w:b/>
          <w:bCs/>
        </w:rPr>
        <w:t>3、资产置换</w:t>
      </w:r>
      <w:bookmarkEnd w:id="415"/>
    </w:p>
    <w:p>
      <w:pPr>
        <w:pStyle w:val="11"/>
        <w:rPr>
          <w:sz w:val="18"/>
          <w:szCs w:val="18"/>
        </w:rPr>
      </w:pPr>
      <w:r>
        <w:rPr>
          <w:rFonts w:hint="eastAsia"/>
          <w:sz w:val="18"/>
          <w:szCs w:val="18"/>
        </w:rPr>
        <w:t>无</w:t>
      </w:r>
    </w:p>
    <w:p>
      <w:pPr>
        <w:pStyle w:val="4"/>
        <w:spacing w:line="280" w:lineRule="exact"/>
        <w:jc w:val="left"/>
        <w:rPr>
          <w:rFonts w:ascii="宋体" w:hAnsi="宋体" w:cs="宋体"/>
          <w:b/>
          <w:bCs/>
        </w:rPr>
      </w:pPr>
      <w:bookmarkStart w:id="416" w:name="_Toc989302"/>
      <w:r>
        <w:rPr>
          <w:rFonts w:ascii="宋体" w:hAnsi="宋体" w:cs="宋体"/>
          <w:b/>
          <w:bCs/>
        </w:rPr>
        <w:t>4、年金计划</w:t>
      </w:r>
      <w:bookmarkEnd w:id="416"/>
    </w:p>
    <w:p>
      <w:pPr>
        <w:pStyle w:val="11"/>
        <w:rPr>
          <w:sz w:val="18"/>
          <w:szCs w:val="18"/>
        </w:rPr>
      </w:pPr>
      <w:r>
        <w:rPr>
          <w:rFonts w:hint="eastAsia"/>
          <w:sz w:val="18"/>
          <w:szCs w:val="18"/>
        </w:rPr>
        <w:t>无</w:t>
      </w:r>
    </w:p>
    <w:p>
      <w:pPr>
        <w:pStyle w:val="4"/>
        <w:spacing w:line="280" w:lineRule="exact"/>
        <w:jc w:val="left"/>
        <w:rPr>
          <w:rFonts w:ascii="宋体" w:hAnsi="宋体" w:cs="宋体"/>
          <w:b/>
          <w:bCs/>
        </w:rPr>
      </w:pPr>
      <w:bookmarkStart w:id="417" w:name="_Toc989303"/>
      <w:r>
        <w:rPr>
          <w:rFonts w:ascii="宋体" w:hAnsi="宋体" w:cs="宋体"/>
          <w:b/>
          <w:bCs/>
        </w:rPr>
        <w:t>5、终止经营</w:t>
      </w:r>
      <w:bookmarkEnd w:id="417"/>
    </w:p>
    <w:p>
      <w:pPr>
        <w:spacing w:before="100" w:after="100" w:line="240" w:lineRule="exact"/>
        <w:rPr>
          <w:rFonts w:ascii="宋体" w:hAnsi="宋体" w:eastAsia="宋体" w:cs="宋体"/>
          <w:sz w:val="18"/>
          <w:szCs w:val="18"/>
        </w:rPr>
      </w:pPr>
      <w:r>
        <w:rPr>
          <w:rFonts w:hint="eastAsia" w:ascii="宋体" w:hAnsi="宋体" w:eastAsia="宋体" w:cs="宋体"/>
          <w:sz w:val="18"/>
          <w:szCs w:val="18"/>
        </w:rPr>
        <w:t>无</w:t>
      </w:r>
    </w:p>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418" w:name="_Toc989304"/>
      <w:r>
        <w:rPr>
          <w:rFonts w:ascii="宋体" w:hAnsi="宋体" w:cs="宋体"/>
          <w:b/>
          <w:bCs/>
        </w:rPr>
        <w:t>6、分部信息</w:t>
      </w:r>
      <w:bookmarkEnd w:id="418"/>
    </w:p>
    <w:p>
      <w:pPr>
        <w:keepNext/>
        <w:keepLines/>
        <w:spacing w:before="300" w:after="300" w:line="280" w:lineRule="exact"/>
        <w:outlineLvl w:val="3"/>
        <w:rPr>
          <w:rFonts w:ascii="宋体" w:hAnsi="宋体" w:eastAsia="宋体" w:cs="宋体"/>
          <w:b/>
          <w:bCs/>
          <w:szCs w:val="21"/>
        </w:rPr>
      </w:pPr>
      <w:bookmarkStart w:id="419" w:name="_Toc989305"/>
      <w:r>
        <w:rPr>
          <w:rFonts w:ascii="宋体" w:hAnsi="宋体" w:eastAsia="宋体" w:cs="宋体"/>
          <w:b/>
          <w:bCs/>
          <w:szCs w:val="21"/>
        </w:rPr>
        <w:t>（1） 报告分部的确定依据与会计政策</w:t>
      </w:r>
      <w:bookmarkEnd w:id="419"/>
    </w:p>
    <w:p>
      <w:pPr>
        <w:pStyle w:val="11"/>
        <w:spacing w:before="40" w:beforeAutospacing="0" w:after="40" w:afterAutospacing="0"/>
        <w:ind w:firstLine="360" w:firstLineChars="200"/>
        <w:rPr>
          <w:rFonts w:cs="Times New Roman"/>
          <w:sz w:val="18"/>
          <w:szCs w:val="18"/>
        </w:rPr>
      </w:pPr>
      <w:r>
        <w:rPr>
          <w:rFonts w:hint="eastAsia" w:cs="Times New Roman"/>
          <w:sz w:val="18"/>
          <w:szCs w:val="18"/>
        </w:rPr>
        <w:t>根据本公司的内部组织结构、管理要求及内部报告制度，本公司的经营业务划分为</w:t>
      </w:r>
      <w:r>
        <w:rPr>
          <w:rFonts w:cs="Times New Roman"/>
          <w:sz w:val="18"/>
          <w:szCs w:val="18"/>
        </w:rPr>
        <w:t>2</w:t>
      </w:r>
      <w:r>
        <w:rPr>
          <w:rFonts w:hint="eastAsia" w:cs="Times New Roman"/>
          <w:sz w:val="18"/>
          <w:szCs w:val="18"/>
        </w:rPr>
        <w:t>个经营分部，本公司的管理层定期评价这些分部的经营成果，以决定向其分配资源及评价其业绩。在经营分部的基础上本公司确定了</w:t>
      </w:r>
      <w:r>
        <w:rPr>
          <w:rFonts w:cs="Times New Roman"/>
          <w:sz w:val="18"/>
          <w:szCs w:val="18"/>
        </w:rPr>
        <w:t>2</w:t>
      </w:r>
      <w:r>
        <w:rPr>
          <w:rFonts w:hint="eastAsia" w:cs="Times New Roman"/>
          <w:sz w:val="18"/>
          <w:szCs w:val="18"/>
        </w:rPr>
        <w:t>个报告分部，分别为智慧水务业务分部、稀土资源综合利用业务分部。这些报告分部是以业务性质为基础确定的。本公司智慧水务业务分部提供的主要产品及劳务为水计量仪器仪表、优质供水设备、智慧水务管理系统等；稀土资源综合利用业务分部主要业务为稀土回收料的综合利用、稀土海外矿贸易。</w:t>
      </w:r>
    </w:p>
    <w:p>
      <w:pPr>
        <w:pStyle w:val="11"/>
        <w:spacing w:before="40" w:beforeAutospacing="0" w:after="40" w:afterAutospacing="0"/>
        <w:ind w:firstLine="360" w:firstLineChars="200"/>
        <w:rPr>
          <w:rFonts w:cs="Times New Roman"/>
          <w:sz w:val="18"/>
          <w:szCs w:val="18"/>
        </w:rPr>
      </w:pPr>
      <w:r>
        <w:rPr>
          <w:rFonts w:hint="eastAsia" w:cs="Times New Roman"/>
          <w:sz w:val="18"/>
          <w:szCs w:val="18"/>
        </w:rPr>
        <w:t>分部报告信息根据各分部向管理层报告时采用的会计政策及计量标准披露，这些计量基础与编制财务报表时的会计与计量基础保持一致。</w:t>
      </w:r>
    </w:p>
    <w:p>
      <w:pPr>
        <w:keepNext/>
        <w:keepLines/>
        <w:spacing w:before="300" w:after="300" w:line="280" w:lineRule="exact"/>
        <w:outlineLvl w:val="3"/>
        <w:rPr>
          <w:rFonts w:ascii="宋体" w:hAnsi="宋体" w:eastAsia="宋体" w:cs="宋体"/>
          <w:b/>
          <w:bCs/>
          <w:szCs w:val="21"/>
        </w:rPr>
      </w:pPr>
      <w:bookmarkStart w:id="420" w:name="_Toc989306"/>
      <w:r>
        <w:rPr>
          <w:rFonts w:ascii="宋体" w:hAnsi="宋体" w:eastAsia="宋体" w:cs="宋体"/>
          <w:b/>
          <w:bCs/>
          <w:szCs w:val="21"/>
        </w:rPr>
        <w:t>（2） 报告分部的财务信息</w:t>
      </w:r>
      <w:bookmarkEnd w:id="420"/>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智慧水务业务分部</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r>
              <w:rPr>
                <w:rFonts w:ascii="宋体" w:hAnsi="宋体" w:eastAsia="宋体" w:cs="宋体"/>
                <w:sz w:val="18"/>
                <w:szCs w:val="18"/>
              </w:rPr>
              <w:t xml:space="preserve">   稀土资源综合利用业务分部</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分部间抵销</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一、对外交易收入</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1,012,311,679.42</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319,368,045.16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1,331,679,724.58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二、分部间交易收入</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三、对联营企业的投资收益</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119,859,379.74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119,859,379.74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四、营业成本</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712,924,380.77</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291,263,307.46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1,004,187,688.23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五、信用减值损失</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-24,468,879.71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-1,069,003.98</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-25,537,883.69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六、资产减值损失</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-738,503.98</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-1,391,855.33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-2,130,359.31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七、利润总额</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222,122,227.74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26,566,986.28</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248,689,214.02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八、所得税费用</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13,634,720.63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1,367,477.17</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15,002,197.80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九、净利润</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208,487,507.11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25,199,509.11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233,687,016.22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十、资产总额</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2,567,109,135.04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436,522,968.83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3,003,632,103.87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十一、负债总额</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292,499,403.35</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276,584,861.60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569,084,264.95</w:t>
            </w:r>
          </w:p>
        </w:tc>
      </w:tr>
    </w:tbl>
    <w:p>
      <w:pPr>
        <w:keepNext/>
        <w:keepLines/>
        <w:spacing w:before="300" w:after="300" w:line="280" w:lineRule="exact"/>
        <w:outlineLvl w:val="3"/>
      </w:pPr>
      <w:bookmarkStart w:id="421" w:name="_Toc989307"/>
      <w:r>
        <w:rPr>
          <w:rFonts w:ascii="宋体" w:hAnsi="宋体" w:eastAsia="宋体" w:cs="宋体"/>
          <w:b/>
          <w:bCs/>
          <w:szCs w:val="21"/>
        </w:rPr>
        <w:t>（3） 公司无报告分部的，或者不能披露各报告分部的资产总额和负债总额的，应说明原因。</w:t>
      </w:r>
      <w:bookmarkEnd w:id="421"/>
    </w:p>
    <w:p>
      <w:pPr>
        <w:keepNext/>
        <w:keepLines/>
        <w:spacing w:before="300" w:after="300" w:line="280" w:lineRule="exact"/>
        <w:outlineLvl w:val="3"/>
      </w:pPr>
      <w:bookmarkStart w:id="422" w:name="_Toc989308"/>
      <w:r>
        <w:rPr>
          <w:rFonts w:ascii="宋体" w:hAnsi="宋体" w:eastAsia="宋体" w:cs="宋体"/>
          <w:b/>
          <w:bCs/>
          <w:szCs w:val="21"/>
        </w:rPr>
        <w:t>（4） 其他说明</w:t>
      </w:r>
      <w:bookmarkEnd w:id="422"/>
    </w:p>
    <w:p>
      <w:pPr>
        <w:pStyle w:val="4"/>
        <w:spacing w:line="280" w:lineRule="exact"/>
        <w:jc w:val="left"/>
        <w:rPr>
          <w:rFonts w:ascii="宋体" w:hAnsi="宋体" w:cs="宋体"/>
          <w:b/>
          <w:bCs/>
        </w:rPr>
      </w:pPr>
      <w:bookmarkStart w:id="423" w:name="_Toc989309"/>
      <w:r>
        <w:rPr>
          <w:rFonts w:ascii="宋体" w:hAnsi="宋体" w:cs="宋体"/>
          <w:b/>
          <w:bCs/>
        </w:rPr>
        <w:t>7、其他对投资者决策有影响的重要交易和事项</w:t>
      </w:r>
      <w:bookmarkEnd w:id="423"/>
    </w:p>
    <w:p>
      <w:pPr>
        <w:pStyle w:val="11"/>
        <w:rPr>
          <w:sz w:val="18"/>
          <w:szCs w:val="18"/>
        </w:rPr>
      </w:pPr>
      <w:r>
        <w:rPr>
          <w:rFonts w:hint="eastAsia"/>
          <w:sz w:val="18"/>
          <w:szCs w:val="18"/>
        </w:rPr>
        <w:t>无</w:t>
      </w:r>
    </w:p>
    <w:p>
      <w:pPr>
        <w:pStyle w:val="3"/>
        <w:spacing w:before="300" w:after="300" w:line="320" w:lineRule="exact"/>
        <w:rPr>
          <w:rFonts w:ascii="宋体" w:hAnsi="宋体" w:eastAsia="宋体" w:cs="宋体"/>
          <w:b/>
          <w:bCs/>
          <w:sz w:val="24"/>
          <w:szCs w:val="24"/>
        </w:rPr>
      </w:pPr>
      <w:bookmarkStart w:id="424" w:name="_Toc989310"/>
      <w:r>
        <w:rPr>
          <w:rFonts w:ascii="宋体" w:hAnsi="宋体" w:eastAsia="宋体" w:cs="宋体"/>
          <w:b/>
          <w:bCs/>
          <w:sz w:val="24"/>
          <w:szCs w:val="24"/>
        </w:rPr>
        <w:t>十七、母公司财务报表主要项目注释</w:t>
      </w:r>
      <w:bookmarkEnd w:id="424"/>
    </w:p>
    <w:p>
      <w:pPr>
        <w:pStyle w:val="4"/>
        <w:spacing w:line="280" w:lineRule="exact"/>
        <w:jc w:val="left"/>
        <w:rPr>
          <w:rFonts w:ascii="宋体" w:hAnsi="宋体" w:cs="宋体"/>
          <w:b/>
          <w:bCs/>
        </w:rPr>
      </w:pPr>
      <w:bookmarkStart w:id="425" w:name="_Toc989311"/>
      <w:r>
        <w:rPr>
          <w:rFonts w:ascii="宋体" w:hAnsi="宋体" w:cs="宋体"/>
          <w:b/>
          <w:bCs/>
        </w:rPr>
        <w:t>1、应收账款</w:t>
      </w:r>
      <w:bookmarkEnd w:id="425"/>
    </w:p>
    <w:p>
      <w:pPr>
        <w:keepNext/>
        <w:keepLines/>
        <w:spacing w:before="300" w:after="300" w:line="280" w:lineRule="exact"/>
        <w:outlineLvl w:val="3"/>
        <w:rPr>
          <w:rFonts w:ascii="宋体" w:hAnsi="宋体" w:eastAsia="宋体" w:cs="宋体"/>
          <w:b/>
          <w:bCs/>
          <w:szCs w:val="21"/>
        </w:rPr>
      </w:pPr>
      <w:bookmarkStart w:id="426" w:name="_Toc989312"/>
      <w:r>
        <w:rPr>
          <w:rFonts w:ascii="宋体" w:hAnsi="宋体" w:eastAsia="宋体" w:cs="宋体"/>
          <w:b/>
          <w:bCs/>
          <w:szCs w:val="21"/>
        </w:rPr>
        <w:t>（1） 应收账款分类披露</w:t>
      </w:r>
      <w:bookmarkEnd w:id="426"/>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5"/>
        <w:gridCol w:w="876"/>
        <w:gridCol w:w="877"/>
        <w:gridCol w:w="876"/>
        <w:gridCol w:w="877"/>
        <w:gridCol w:w="876"/>
        <w:gridCol w:w="876"/>
        <w:gridCol w:w="877"/>
        <w:gridCol w:w="876"/>
        <w:gridCol w:w="877"/>
        <w:gridCol w:w="87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381" w:type="dxa"/>
            <w:gridSpan w:val="5"/>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75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876"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比例</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876"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按单项计提坏账准备的应收账款</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3,265,433.16</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0.52%</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3,265,433.16</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2,270,184.76</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0.34%</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2,270,184.76</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其中：</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按组合计提坏账准备的应收账款</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630,620,599.98</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99.48%</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126,406,967.33</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20.04%</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504,213,632.65</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662,759,355.78</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99.66%</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108,921,563.89</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16.43%</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553,837,791.89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180" w:firstLineChars="100"/>
              <w:rPr>
                <w:rFonts w:ascii="宋体" w:hAnsi="宋体" w:eastAsia="宋体" w:cs="宋体"/>
                <w:sz w:val="18"/>
                <w:szCs w:val="18"/>
              </w:rPr>
            </w:pPr>
            <w:r>
              <w:rPr>
                <w:rFonts w:ascii="宋体" w:hAnsi="宋体" w:eastAsia="宋体" w:cs="宋体"/>
                <w:sz w:val="18"/>
                <w:szCs w:val="18"/>
              </w:rPr>
              <w:t>其中：</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合并范围内关联方组合</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3,228,139.54</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0.51%</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3,228,139.54</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4,684,466.47</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0.71%</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4,684,466.47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其他客户组合</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627,392,460.44</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99.49%</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126,406,967.33</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20.15%</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500,985,493.11</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658,074,889.31</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99.29%</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108,921,563.89</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16.55%</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549,153,325.42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633,886,033.14</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129,672,400.49</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20.46%</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504,213,632.65</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665,029,540.54</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111,191,748.65</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16.72%</w:t>
            </w:r>
          </w:p>
        </w:tc>
        <w:tc>
          <w:tcPr>
            <w:tcW w:w="87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553,837,791.89</w:t>
            </w:r>
          </w:p>
        </w:tc>
      </w:tr>
    </w:tbl>
    <w:p>
      <w:pPr>
        <w:spacing w:line="240" w:lineRule="exact"/>
        <w:rPr>
          <w:rFonts w:ascii="宋体" w:hAnsi="宋体" w:eastAsia="宋体" w:cs="宋体"/>
          <w:sz w:val="18"/>
          <w:szCs w:val="18"/>
        </w:rPr>
      </w:pPr>
      <w:r>
        <w:rPr>
          <w:rFonts w:ascii="宋体" w:hAnsi="宋体" w:eastAsia="宋体" w:cs="宋体"/>
          <w:sz w:val="18"/>
          <w:szCs w:val="18"/>
        </w:rPr>
        <w:t>按单项计提坏账准备：3,265,433.16</w:t>
      </w:r>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7711"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计提理由</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安庆正大机电设备有限公司</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2,270,184.76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2,270,184.76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预计后续款项收回可能性较小，故全额计提坏账准备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银川中铁水务集团二次供水有限公司</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385,725.00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385,725.00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预计后续款项收回可能性较小，故全额计提坏账准备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银川中铁水务集团市政工程有限公司</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588,961.90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588,961.90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预计后续款项收回可能性较小，故全额计提坏账准备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云浮市云安区粤海供水有限公司</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11,000.00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11,000.00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预计后续款项收回可能性较小，故全额计提坏账准备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天台县平镇自来水有限公司</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9,561.50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9,561.50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预计后续款项收回可能性较小，故全额计提坏账准备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3,265,433.16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3,265,433.16</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bl>
    <w:p>
      <w:pPr>
        <w:spacing w:line="240" w:lineRule="exact"/>
        <w:rPr>
          <w:rFonts w:ascii="宋体" w:hAnsi="宋体" w:eastAsia="宋体" w:cs="宋体"/>
          <w:sz w:val="18"/>
          <w:szCs w:val="18"/>
        </w:rPr>
      </w:pPr>
      <w:r>
        <w:rPr>
          <w:rFonts w:ascii="宋体" w:hAnsi="宋体" w:eastAsia="宋体" w:cs="宋体"/>
          <w:sz w:val="18"/>
          <w:szCs w:val="18"/>
        </w:rPr>
        <w:t>按组合计提坏账准备：126,406,967.33</w:t>
      </w:r>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722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账龄1年以内</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296,571,177.06</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14,828,558.85</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账龄1至2年</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122,804,947.32</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12,280,494.73</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账龄2至3年</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126,457,154.10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37,937,146.23</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账龄3至4年</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40,396,828.88</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20,198,414.44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账龄4至5年</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11,205,545.08</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11,205,545.08</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账龄5年以上</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29,956,808.00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29,956,808.00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627,392,460.44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126,406,967.33</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r>
    </w:tbl>
    <w:p>
      <w:pPr>
        <w:spacing w:before="100" w:after="100" w:line="240" w:lineRule="exact"/>
      </w:pPr>
      <w:r>
        <w:rPr>
          <w:rFonts w:ascii="宋体" w:hAnsi="宋体" w:eastAsia="宋体" w:cs="宋体"/>
          <w:sz w:val="18"/>
          <w:szCs w:val="18"/>
        </w:rPr>
        <w:t>确定该组合依据的说明：</w:t>
      </w:r>
    </w:p>
    <w:p>
      <w:pPr>
        <w:spacing w:line="240" w:lineRule="exact"/>
        <w:rPr>
          <w:rFonts w:ascii="宋体" w:hAnsi="宋体" w:eastAsia="宋体" w:cs="宋体"/>
          <w:sz w:val="18"/>
          <w:szCs w:val="18"/>
        </w:rPr>
      </w:pPr>
      <w:r>
        <w:rPr>
          <w:rFonts w:ascii="宋体" w:hAnsi="宋体" w:eastAsia="宋体" w:cs="宋体"/>
          <w:sz w:val="18"/>
          <w:szCs w:val="18"/>
        </w:rPr>
        <w:t>按组合计提坏账准备：0</w:t>
      </w:r>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名称</w:t>
            </w:r>
          </w:p>
        </w:tc>
        <w:tc>
          <w:tcPr>
            <w:tcW w:w="7229"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计提比例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合并范围内关联方组合</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3,228,139.54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3,228,139.54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0.00</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r>
    </w:tbl>
    <w:p>
      <w:pPr>
        <w:spacing w:before="100" w:after="100" w:line="240" w:lineRule="exact"/>
      </w:pPr>
      <w:r>
        <w:rPr>
          <w:rFonts w:ascii="宋体" w:hAnsi="宋体" w:eastAsia="宋体" w:cs="宋体"/>
          <w:sz w:val="18"/>
          <w:szCs w:val="18"/>
        </w:rPr>
        <w:t>确定该组合依据的说明：</w:t>
      </w:r>
    </w:p>
    <w:p>
      <w:pPr>
        <w:spacing w:before="100" w:after="100" w:line="240" w:lineRule="exact"/>
        <w:rPr>
          <w:rFonts w:ascii="宋体" w:hAnsi="宋体" w:eastAsia="宋体" w:cs="宋体"/>
          <w:sz w:val="18"/>
          <w:szCs w:val="18"/>
        </w:rPr>
      </w:pPr>
      <w:r>
        <w:rPr>
          <w:rFonts w:ascii="宋体" w:hAnsi="宋体" w:eastAsia="宋体" w:cs="宋体"/>
          <w:sz w:val="18"/>
          <w:szCs w:val="18"/>
        </w:rPr>
        <w:t>如是按照预期信用损失一般模型计提应收账款坏账准备，请参照其他应收款的披露方式披露坏账准备的相关信息：</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rFonts w:ascii="宋体" w:hAnsi="宋体" w:eastAsia="宋体" w:cs="宋体"/>
          <w:sz w:val="18"/>
          <w:szCs w:val="18"/>
        </w:rPr>
        <w:sym w:font="Wingdings 2" w:char="F052"/>
      </w:r>
      <w:r>
        <w:rPr>
          <w:rFonts w:ascii="宋体" w:hAnsi="宋体" w:eastAsia="宋体" w:cs="宋体"/>
          <w:sz w:val="18"/>
          <w:szCs w:val="18"/>
        </w:rPr>
        <w:t>不适用</w:t>
      </w:r>
    </w:p>
    <w:p>
      <w:pPr>
        <w:spacing w:line="240" w:lineRule="exact"/>
        <w:rPr>
          <w:rFonts w:ascii="宋体" w:hAnsi="宋体" w:eastAsia="宋体" w:cs="宋体"/>
          <w:sz w:val="18"/>
          <w:szCs w:val="18"/>
        </w:rPr>
      </w:pPr>
      <w:r>
        <w:rPr>
          <w:rFonts w:ascii="宋体" w:hAnsi="宋体" w:eastAsia="宋体" w:cs="宋体"/>
          <w:sz w:val="18"/>
          <w:szCs w:val="18"/>
        </w:rPr>
        <w:t>按账龄披露</w:t>
      </w:r>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账龄</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1年以内（含1年）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297,543,324.27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1至2年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125,073,114.65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2至3年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128,727,338.86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3年以上</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82,542,255.36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3至4年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40,594,658.38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4至5年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11,205,545.08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5年以上</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30,742,051.90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633,886,033.14</w:t>
            </w:r>
          </w:p>
        </w:tc>
      </w:tr>
    </w:tbl>
    <w:p>
      <w:pPr>
        <w:keepNext/>
        <w:keepLines/>
        <w:spacing w:before="300" w:after="300" w:line="280" w:lineRule="exact"/>
        <w:outlineLvl w:val="3"/>
        <w:rPr>
          <w:rFonts w:ascii="宋体" w:hAnsi="宋体" w:eastAsia="宋体" w:cs="宋体"/>
          <w:b/>
          <w:bCs/>
          <w:szCs w:val="21"/>
        </w:rPr>
      </w:pPr>
      <w:bookmarkStart w:id="427" w:name="_Toc989313"/>
      <w:r>
        <w:rPr>
          <w:rFonts w:ascii="宋体" w:hAnsi="宋体" w:eastAsia="宋体" w:cs="宋体"/>
          <w:b/>
          <w:bCs/>
          <w:szCs w:val="21"/>
        </w:rPr>
        <w:t>（2） 本期计提、收回或转回的坏账准备情况</w:t>
      </w:r>
      <w:bookmarkEnd w:id="427"/>
    </w:p>
    <w:p>
      <w:pPr>
        <w:spacing w:line="240" w:lineRule="exact"/>
        <w:rPr>
          <w:rFonts w:ascii="宋体" w:hAnsi="宋体" w:eastAsia="宋体" w:cs="宋体"/>
          <w:sz w:val="18"/>
          <w:szCs w:val="18"/>
        </w:rPr>
      </w:pPr>
      <w:r>
        <w:rPr>
          <w:rFonts w:ascii="宋体" w:hAnsi="宋体" w:eastAsia="宋体" w:cs="宋体"/>
          <w:sz w:val="18"/>
          <w:szCs w:val="18"/>
        </w:rPr>
        <w:t>本期计提坏账准备情况：</w:t>
      </w:r>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600"/>
        <w:gridCol w:w="1559"/>
        <w:gridCol w:w="972"/>
        <w:gridCol w:w="1580"/>
        <w:gridCol w:w="992"/>
        <w:gridCol w:w="155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60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103"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本期变动金额</w:t>
            </w:r>
          </w:p>
        </w:tc>
        <w:tc>
          <w:tcPr>
            <w:tcW w:w="1559"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60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55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97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w:t>
            </w:r>
          </w:p>
        </w:tc>
        <w:tc>
          <w:tcPr>
            <w:tcW w:w="158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核销</w:t>
            </w:r>
          </w:p>
        </w:tc>
        <w:tc>
          <w:tcPr>
            <w:tcW w:w="99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559"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单项计提</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2,270,184.76</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995,248.40</w:t>
            </w:r>
          </w:p>
        </w:tc>
        <w:tc>
          <w:tcPr>
            <w:tcW w:w="97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3,265,433.16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组合计提</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108,921,563.89</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18,548,494.99</w:t>
            </w:r>
          </w:p>
        </w:tc>
        <w:tc>
          <w:tcPr>
            <w:tcW w:w="97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1,063,091.55</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126,406,967.33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111,191,748.65</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19,543,743.39</w:t>
            </w:r>
          </w:p>
        </w:tc>
        <w:tc>
          <w:tcPr>
            <w:tcW w:w="97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8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1,063,091.55</w:t>
            </w:r>
          </w:p>
        </w:tc>
        <w:tc>
          <w:tcPr>
            <w:tcW w:w="992"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129,672,400.49</w:t>
            </w:r>
          </w:p>
        </w:tc>
      </w:tr>
    </w:tbl>
    <w:p>
      <w:pPr>
        <w:spacing w:line="240" w:lineRule="exact"/>
        <w:rPr>
          <w:rFonts w:ascii="宋体" w:hAnsi="宋体" w:eastAsia="宋体" w:cs="宋体"/>
          <w:sz w:val="18"/>
          <w:szCs w:val="18"/>
        </w:rPr>
      </w:pPr>
      <w:r>
        <w:rPr>
          <w:rFonts w:ascii="宋体" w:hAnsi="宋体" w:eastAsia="宋体" w:cs="宋体"/>
          <w:sz w:val="18"/>
          <w:szCs w:val="18"/>
        </w:rPr>
        <w:t>其中本期坏账准备收回或转回金额重要的：</w:t>
      </w:r>
    </w:p>
    <w:p>
      <w:pPr>
        <w:keepNext/>
        <w:keepLines/>
        <w:spacing w:before="300" w:after="300" w:line="280" w:lineRule="exact"/>
        <w:outlineLvl w:val="3"/>
        <w:rPr>
          <w:rFonts w:ascii="宋体" w:hAnsi="宋体" w:eastAsia="宋体" w:cs="宋体"/>
          <w:b/>
          <w:bCs/>
          <w:szCs w:val="21"/>
        </w:rPr>
      </w:pPr>
      <w:bookmarkStart w:id="428" w:name="_Toc989314"/>
      <w:r>
        <w:rPr>
          <w:rFonts w:ascii="宋体" w:hAnsi="宋体" w:eastAsia="宋体" w:cs="宋体"/>
          <w:b/>
          <w:bCs/>
          <w:szCs w:val="21"/>
        </w:rPr>
        <w:t>（3） 本期实际核销的应收账款情况</w:t>
      </w:r>
      <w:bookmarkEnd w:id="428"/>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实际核销的应收账款</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1,063,091.55</w:t>
            </w:r>
          </w:p>
        </w:tc>
      </w:tr>
    </w:tbl>
    <w:p>
      <w:pPr>
        <w:spacing w:line="240" w:lineRule="exact"/>
        <w:rPr>
          <w:rFonts w:ascii="宋体" w:hAnsi="宋体" w:eastAsia="宋体" w:cs="宋体"/>
          <w:sz w:val="18"/>
          <w:szCs w:val="18"/>
        </w:rPr>
      </w:pPr>
      <w:r>
        <w:rPr>
          <w:rFonts w:ascii="宋体" w:hAnsi="宋体" w:eastAsia="宋体" w:cs="宋体"/>
          <w:sz w:val="18"/>
          <w:szCs w:val="18"/>
        </w:rPr>
        <w:t>其中重要的应收账款核销情况：</w:t>
      </w:r>
    </w:p>
    <w:p>
      <w:pPr>
        <w:spacing w:before="100" w:after="100" w:line="240" w:lineRule="exact"/>
      </w:pPr>
      <w:r>
        <w:rPr>
          <w:rFonts w:ascii="宋体" w:hAnsi="宋体" w:eastAsia="宋体" w:cs="宋体"/>
          <w:sz w:val="18"/>
          <w:szCs w:val="18"/>
        </w:rPr>
        <w:t>应收账款核销说明：</w:t>
      </w:r>
    </w:p>
    <w:p>
      <w:pPr>
        <w:keepNext/>
        <w:keepLines/>
        <w:spacing w:before="300" w:after="300" w:line="280" w:lineRule="exact"/>
        <w:outlineLvl w:val="3"/>
        <w:rPr>
          <w:rFonts w:ascii="宋体" w:hAnsi="宋体" w:eastAsia="宋体" w:cs="宋体"/>
          <w:b/>
          <w:bCs/>
          <w:szCs w:val="21"/>
        </w:rPr>
      </w:pPr>
      <w:bookmarkStart w:id="429" w:name="_Toc989315"/>
      <w:r>
        <w:rPr>
          <w:rFonts w:ascii="宋体" w:hAnsi="宋体" w:eastAsia="宋体" w:cs="宋体"/>
          <w:b/>
          <w:bCs/>
          <w:szCs w:val="21"/>
        </w:rPr>
        <w:t>（4） 按欠款方归集的期末余额前五名的应收账款情况</w:t>
      </w:r>
      <w:bookmarkEnd w:id="429"/>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409"/>
        <w:gridCol w:w="2410"/>
        <w:gridCol w:w="2410"/>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应收账款期末余额</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占应收账款期末余额合计数的比例</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客户一</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67,435,003.55</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10.64%</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16,625,117.97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客户二</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48,491,770.90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7.65%</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8,027,661.12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客户三</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30,840,229.98</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4.87%</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2,804,549.31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客户四</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23,854,782.00</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3.76%</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3,725,025.70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客户五</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10,436,399.75</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1.65%</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5,137,225.14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181,058,186.18</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28.57%</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tc>
      </w:tr>
    </w:tbl>
    <w:p>
      <w:pPr>
        <w:keepNext/>
        <w:keepLines/>
        <w:spacing w:before="300" w:after="300" w:line="280" w:lineRule="exact"/>
        <w:outlineLvl w:val="3"/>
        <w:rPr>
          <w:rFonts w:ascii="宋体" w:hAnsi="宋体" w:eastAsia="宋体" w:cs="宋体"/>
          <w:b/>
          <w:bCs/>
          <w:szCs w:val="21"/>
        </w:rPr>
      </w:pPr>
      <w:bookmarkStart w:id="430" w:name="_Toc989316"/>
      <w:r>
        <w:rPr>
          <w:rFonts w:ascii="宋体" w:hAnsi="宋体" w:eastAsia="宋体" w:cs="宋体"/>
          <w:b/>
          <w:bCs/>
          <w:szCs w:val="21"/>
        </w:rPr>
        <w:t>（5） 因金融资产转移而终止确认的应收账款</w:t>
      </w:r>
      <w:bookmarkEnd w:id="430"/>
    </w:p>
    <w:p>
      <w:pPr>
        <w:pStyle w:val="11"/>
        <w:rPr>
          <w:sz w:val="18"/>
          <w:szCs w:val="18"/>
        </w:rPr>
      </w:pPr>
      <w:r>
        <w:rPr>
          <w:rFonts w:hint="eastAsia"/>
          <w:sz w:val="18"/>
          <w:szCs w:val="18"/>
        </w:rPr>
        <w:t>无</w:t>
      </w:r>
    </w:p>
    <w:p>
      <w:pPr>
        <w:keepNext/>
        <w:keepLines/>
        <w:spacing w:before="300" w:after="300" w:line="280" w:lineRule="exact"/>
        <w:outlineLvl w:val="3"/>
        <w:rPr>
          <w:rFonts w:ascii="宋体" w:hAnsi="宋体" w:eastAsia="宋体" w:cs="宋体"/>
          <w:b/>
          <w:bCs/>
          <w:szCs w:val="21"/>
        </w:rPr>
      </w:pPr>
      <w:bookmarkStart w:id="431" w:name="_Toc989317"/>
      <w:r>
        <w:rPr>
          <w:rFonts w:ascii="宋体" w:hAnsi="宋体" w:eastAsia="宋体" w:cs="宋体"/>
          <w:b/>
          <w:bCs/>
          <w:szCs w:val="21"/>
        </w:rPr>
        <w:t>（6） 转移应收账款且继续涉入形成的资产、负债金额</w:t>
      </w:r>
      <w:bookmarkEnd w:id="431"/>
    </w:p>
    <w:p>
      <w:pPr>
        <w:pStyle w:val="11"/>
        <w:rPr>
          <w:sz w:val="18"/>
          <w:szCs w:val="18"/>
        </w:rPr>
      </w:pPr>
      <w:r>
        <w:rPr>
          <w:rFonts w:hint="eastAsia"/>
          <w:sz w:val="18"/>
          <w:szCs w:val="18"/>
        </w:rPr>
        <w:t>无</w:t>
      </w:r>
    </w:p>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432" w:name="_Toc989318"/>
      <w:r>
        <w:rPr>
          <w:rFonts w:ascii="宋体" w:hAnsi="宋体" w:cs="宋体"/>
          <w:b/>
          <w:bCs/>
        </w:rPr>
        <w:t>2、其他应收款</w:t>
      </w:r>
      <w:bookmarkEnd w:id="432"/>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其他应收款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29,304,414.03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24,762,135.92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29,304,414.03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24,762,135.92</w:t>
            </w:r>
          </w:p>
        </w:tc>
      </w:tr>
    </w:tbl>
    <w:p>
      <w:pPr>
        <w:keepNext/>
        <w:keepLines/>
        <w:spacing w:before="300" w:after="300" w:line="280" w:lineRule="exact"/>
        <w:outlineLvl w:val="3"/>
        <w:rPr>
          <w:rFonts w:ascii="宋体" w:hAnsi="宋体" w:eastAsia="宋体" w:cs="宋体"/>
          <w:b/>
          <w:bCs/>
          <w:sz w:val="18"/>
          <w:szCs w:val="18"/>
        </w:rPr>
      </w:pPr>
      <w:bookmarkStart w:id="433" w:name="_Toc989319"/>
      <w:r>
        <w:rPr>
          <w:rFonts w:ascii="宋体" w:hAnsi="宋体" w:eastAsia="宋体" w:cs="宋体"/>
          <w:b/>
          <w:bCs/>
          <w:sz w:val="18"/>
          <w:szCs w:val="18"/>
        </w:rPr>
        <w:t>（1） 其他应收款</w:t>
      </w:r>
      <w:bookmarkEnd w:id="433"/>
    </w:p>
    <w:p>
      <w:pPr>
        <w:keepNext/>
        <w:keepLines/>
        <w:spacing w:before="300" w:after="300" w:line="280" w:lineRule="exact"/>
        <w:outlineLvl w:val="4"/>
        <w:rPr>
          <w:rFonts w:ascii="宋体" w:hAnsi="宋体" w:eastAsia="宋体" w:cs="宋体"/>
          <w:b/>
          <w:bCs/>
          <w:sz w:val="18"/>
          <w:szCs w:val="18"/>
        </w:rPr>
      </w:pPr>
      <w:bookmarkStart w:id="434" w:name="_Toc989320"/>
      <w:r>
        <w:rPr>
          <w:rFonts w:ascii="宋体" w:hAnsi="宋体" w:eastAsia="宋体" w:cs="宋体"/>
          <w:b/>
          <w:bCs/>
          <w:sz w:val="18"/>
          <w:szCs w:val="18"/>
        </w:rPr>
        <w:t>1） 其他应收款按款项性质分类情况</w:t>
      </w:r>
      <w:bookmarkEnd w:id="434"/>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款项性质</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期末账面余额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期初账面余额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履约及投标保证金</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14,808,743.39</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11,861,965.55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往来款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7,017,517.87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11,777,842.11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股权转让款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项目借款</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7,823,821.77</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2,716,900.13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72,975.70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74,427.70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38,323,058.73</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35,031,135.49</w:t>
            </w:r>
          </w:p>
        </w:tc>
      </w:tr>
    </w:tbl>
    <w:p>
      <w:pPr>
        <w:keepNext/>
        <w:keepLines/>
        <w:spacing w:before="300" w:after="300" w:line="280" w:lineRule="exact"/>
        <w:outlineLvl w:val="4"/>
        <w:rPr>
          <w:rFonts w:ascii="宋体" w:hAnsi="宋体" w:eastAsia="宋体" w:cs="宋体"/>
          <w:b/>
          <w:bCs/>
          <w:sz w:val="18"/>
          <w:szCs w:val="18"/>
        </w:rPr>
      </w:pPr>
      <w:bookmarkStart w:id="435" w:name="_Toc989321"/>
      <w:r>
        <w:rPr>
          <w:rFonts w:ascii="宋体" w:hAnsi="宋体" w:eastAsia="宋体" w:cs="宋体"/>
          <w:b/>
          <w:bCs/>
          <w:sz w:val="18"/>
          <w:szCs w:val="18"/>
        </w:rPr>
        <w:t>2） 坏账准备计提情况</w:t>
      </w:r>
      <w:bookmarkEnd w:id="435"/>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127"/>
        <w:gridCol w:w="17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w:t>
            </w:r>
          </w:p>
        </w:tc>
        <w:tc>
          <w:tcPr>
            <w:tcW w:w="17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第一阶段</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第二阶段</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第三阶段</w:t>
            </w:r>
          </w:p>
        </w:tc>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7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未来12个月预期信用损失</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整个存续期预期信用损失(未发生信用减值)</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整个存续期预期信用损失(已发生信用减值)</w:t>
            </w:r>
          </w:p>
        </w:tc>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2022年1月1日余额</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5,671,736.43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4,597,263.14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10,268,999.57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2022年1月1日余额在本期</w:t>
            </w:r>
          </w:p>
        </w:tc>
        <w:tc>
          <w:tcPr>
            <w:tcW w:w="17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本期计提</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2,645,527.63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2,645,527.63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本期核销</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3,895,882.50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3,895,882.50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12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2022年12月31日余额</w:t>
            </w:r>
          </w:p>
        </w:tc>
        <w:tc>
          <w:tcPr>
            <w:tcW w:w="17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8,317,264.06</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701,380.64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9,018,644.70</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损失准备本期变动金额重大的账面余额变动情况</w:t>
      </w:r>
    </w:p>
    <w:p>
      <w:pPr>
        <w:spacing w:before="100" w:after="100" w:line="240" w:lineRule="exact"/>
      </w:pPr>
      <w:r>
        <w:rPr>
          <w:szCs w:val="24"/>
        </w:rPr>
        <w:t>√</w:t>
      </w:r>
      <w:r>
        <w:rPr>
          <w:rFonts w:ascii="宋体" w:hAnsi="宋体" w:eastAsia="宋体" w:cs="宋体"/>
          <w:sz w:val="18"/>
          <w:szCs w:val="18"/>
        </w:rPr>
        <w:t>适用 □不适用</w:t>
      </w:r>
    </w:p>
    <w:p>
      <w:pPr>
        <w:spacing w:line="240" w:lineRule="exact"/>
        <w:rPr>
          <w:rFonts w:ascii="宋体" w:hAnsi="宋体" w:eastAsia="宋体" w:cs="宋体"/>
          <w:sz w:val="18"/>
          <w:szCs w:val="18"/>
        </w:rPr>
      </w:pPr>
      <w:r>
        <w:rPr>
          <w:rFonts w:ascii="宋体" w:hAnsi="宋体" w:eastAsia="宋体" w:cs="宋体"/>
          <w:sz w:val="18"/>
          <w:szCs w:val="18"/>
        </w:rPr>
        <w:t>按账龄披露</w:t>
      </w:r>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账龄</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1年以内（含1年）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15,828,926.14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1至2年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8,365,909.27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2至3年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2,091,710.76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3年以上</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12,036,512.56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3至4年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9,333,036.67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4至5年</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1,095,395.81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5年以上</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1,608,080.08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38,323,058.73</w:t>
            </w:r>
          </w:p>
        </w:tc>
      </w:tr>
    </w:tbl>
    <w:p>
      <w:pPr>
        <w:keepNext/>
        <w:keepLines/>
        <w:spacing w:before="300" w:after="300" w:line="280" w:lineRule="exact"/>
        <w:outlineLvl w:val="4"/>
        <w:rPr>
          <w:rFonts w:ascii="宋体" w:hAnsi="宋体" w:eastAsia="宋体" w:cs="宋体"/>
          <w:b/>
          <w:bCs/>
          <w:sz w:val="18"/>
          <w:szCs w:val="18"/>
        </w:rPr>
      </w:pPr>
      <w:bookmarkStart w:id="436" w:name="_Toc989322"/>
      <w:r>
        <w:rPr>
          <w:rFonts w:ascii="宋体" w:hAnsi="宋体" w:eastAsia="宋体" w:cs="宋体"/>
          <w:b/>
          <w:bCs/>
          <w:sz w:val="18"/>
          <w:szCs w:val="18"/>
        </w:rPr>
        <w:t>3） 本期计提、收回或转回的坏账准备情况</w:t>
      </w:r>
      <w:bookmarkEnd w:id="436"/>
    </w:p>
    <w:p>
      <w:pPr>
        <w:spacing w:line="240" w:lineRule="exact"/>
        <w:rPr>
          <w:rFonts w:ascii="宋体" w:hAnsi="宋体" w:eastAsia="宋体" w:cs="宋体"/>
          <w:sz w:val="18"/>
          <w:szCs w:val="18"/>
        </w:rPr>
      </w:pPr>
      <w:r>
        <w:rPr>
          <w:rFonts w:ascii="宋体" w:hAnsi="宋体" w:eastAsia="宋体" w:cs="宋体"/>
          <w:sz w:val="18"/>
          <w:szCs w:val="18"/>
        </w:rPr>
        <w:t>本期计提坏账准备情况：</w:t>
      </w:r>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600"/>
        <w:gridCol w:w="1418"/>
        <w:gridCol w:w="1113"/>
        <w:gridCol w:w="1377"/>
        <w:gridCol w:w="1377"/>
        <w:gridCol w:w="137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类别</w:t>
            </w:r>
          </w:p>
        </w:tc>
        <w:tc>
          <w:tcPr>
            <w:tcW w:w="1600"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c>
          <w:tcPr>
            <w:tcW w:w="5285"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本期变动金额</w:t>
            </w:r>
          </w:p>
        </w:tc>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600"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w:t>
            </w:r>
          </w:p>
        </w:tc>
        <w:tc>
          <w:tcPr>
            <w:tcW w:w="11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收回或转回</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核销</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单项计提</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4,597,263.14</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1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3,895,882.50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701,380.64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组合计提</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5,671,736.43</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2,645,527.63</w:t>
            </w:r>
          </w:p>
        </w:tc>
        <w:tc>
          <w:tcPr>
            <w:tcW w:w="11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8,317,264.06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60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10,268,999.57</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2,645,527.63</w:t>
            </w:r>
          </w:p>
        </w:tc>
        <w:tc>
          <w:tcPr>
            <w:tcW w:w="11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3,895,882.50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9,018,644.70</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其中本期坏账准备转回或收回金额重要的：</w:t>
      </w:r>
    </w:p>
    <w:p>
      <w:pPr>
        <w:keepNext/>
        <w:keepLines/>
        <w:spacing w:before="300" w:after="300" w:line="280" w:lineRule="exact"/>
        <w:outlineLvl w:val="4"/>
        <w:rPr>
          <w:rFonts w:ascii="宋体" w:hAnsi="宋体" w:eastAsia="宋体" w:cs="宋体"/>
          <w:b/>
          <w:bCs/>
          <w:sz w:val="18"/>
          <w:szCs w:val="18"/>
        </w:rPr>
      </w:pPr>
      <w:bookmarkStart w:id="437" w:name="_Toc989323"/>
      <w:r>
        <w:rPr>
          <w:rFonts w:ascii="宋体" w:hAnsi="宋体" w:eastAsia="宋体" w:cs="宋体"/>
          <w:b/>
          <w:bCs/>
          <w:sz w:val="18"/>
          <w:szCs w:val="18"/>
        </w:rPr>
        <w:t>4） 本期实际核销的其他应收款情况</w:t>
      </w:r>
      <w:bookmarkEnd w:id="437"/>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820"/>
        <w:gridCol w:w="481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82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上海三川爱水科技有限公司</w:t>
            </w:r>
          </w:p>
        </w:tc>
        <w:tc>
          <w:tcPr>
            <w:tcW w:w="482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3,895,882.50</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其中重要的其他应收款核销情况：</w:t>
      </w:r>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06"/>
        <w:gridCol w:w="1606"/>
        <w:gridCol w:w="1606"/>
        <w:gridCol w:w="1986"/>
        <w:gridCol w:w="1418"/>
        <w:gridCol w:w="141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其他应收款性质</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核销金额</w:t>
            </w:r>
          </w:p>
        </w:tc>
        <w:tc>
          <w:tcPr>
            <w:tcW w:w="198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核销原因</w:t>
            </w:r>
          </w:p>
        </w:tc>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履行的核销程序</w:t>
            </w:r>
          </w:p>
        </w:tc>
        <w:tc>
          <w:tcPr>
            <w:tcW w:w="141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款项是否由关联交易产生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上海三川爱水科技有限公司</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往来款</w:t>
            </w: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3,895,882.50</w:t>
            </w:r>
          </w:p>
        </w:tc>
        <w:tc>
          <w:tcPr>
            <w:tcW w:w="1986"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上海三川爱水科技有限公司系本公司子公司，该公司于报告期内注销</w:t>
            </w:r>
          </w:p>
        </w:tc>
        <w:tc>
          <w:tcPr>
            <w:tcW w:w="141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hint="eastAsia" w:ascii="宋体" w:hAnsi="宋体" w:eastAsia="宋体" w:cs="宋体"/>
                <w:sz w:val="18"/>
                <w:szCs w:val="18"/>
              </w:rPr>
              <w:t>第六届董事会第二十会议审议通过注销上海三川爱水科技有限公司</w:t>
            </w:r>
          </w:p>
        </w:tc>
        <w:tc>
          <w:tcPr>
            <w:tcW w:w="1417"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60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60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3,895,882.50</w:t>
            </w:r>
          </w:p>
        </w:tc>
        <w:tc>
          <w:tcPr>
            <w:tcW w:w="1986"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41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417" w:type="dxa"/>
            <w:tcBorders>
              <w:top w:val="single" w:color="auto" w:sz="2" w:space="0"/>
              <w:left w:val="single" w:color="auto" w:sz="2" w:space="0"/>
              <w:bottom w:val="single" w:color="auto" w:sz="2" w:space="0"/>
              <w:right w:val="single" w:color="auto" w:sz="2" w:space="0"/>
            </w:tcBorders>
            <w:shd w:val="clear" w:color="auto" w:fill="D3D3D3"/>
            <w:vAlign w:val="center"/>
          </w:tcPr>
          <w:p/>
        </w:tc>
      </w:tr>
    </w:tbl>
    <w:p>
      <w:pPr>
        <w:spacing w:before="100" w:after="100" w:line="240" w:lineRule="exact"/>
      </w:pPr>
      <w:r>
        <w:rPr>
          <w:rFonts w:ascii="宋体" w:hAnsi="宋体" w:eastAsia="宋体" w:cs="宋体"/>
          <w:sz w:val="18"/>
          <w:szCs w:val="18"/>
        </w:rPr>
        <w:t>其他应收款核销说明：</w:t>
      </w:r>
    </w:p>
    <w:p>
      <w:pPr>
        <w:keepNext/>
        <w:keepLines/>
        <w:spacing w:before="300" w:after="300" w:line="280" w:lineRule="exact"/>
        <w:outlineLvl w:val="4"/>
        <w:rPr>
          <w:rFonts w:ascii="宋体" w:hAnsi="宋体" w:eastAsia="宋体" w:cs="宋体"/>
          <w:b/>
          <w:bCs/>
          <w:sz w:val="18"/>
          <w:szCs w:val="18"/>
        </w:rPr>
      </w:pPr>
      <w:bookmarkStart w:id="438" w:name="_Toc989324"/>
      <w:r>
        <w:rPr>
          <w:rFonts w:ascii="宋体" w:hAnsi="宋体" w:eastAsia="宋体" w:cs="宋体"/>
          <w:b/>
          <w:bCs/>
          <w:sz w:val="18"/>
          <w:szCs w:val="18"/>
        </w:rPr>
        <w:t>5） 按欠款方归集的期末余额前五名的其他应收款情况</w:t>
      </w:r>
      <w:bookmarkEnd w:id="438"/>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552"/>
        <w:gridCol w:w="1134"/>
        <w:gridCol w:w="1559"/>
        <w:gridCol w:w="1180"/>
        <w:gridCol w:w="1607"/>
        <w:gridCol w:w="160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单位名称</w:t>
            </w:r>
          </w:p>
        </w:tc>
        <w:tc>
          <w:tcPr>
            <w:tcW w:w="1134"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款项的性质</w:t>
            </w:r>
          </w:p>
        </w:tc>
        <w:tc>
          <w:tcPr>
            <w:tcW w:w="155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118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账龄</w:t>
            </w:r>
          </w:p>
        </w:tc>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占其他应收款期末余额合计数的比例</w:t>
            </w:r>
          </w:p>
        </w:tc>
        <w:tc>
          <w:tcPr>
            <w:tcW w:w="160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坏账准备期末余额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鹰潭市经贸国有资产运营有限公司</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股权款</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8,600,000.00</w:t>
            </w:r>
          </w:p>
        </w:tc>
        <w:tc>
          <w:tcPr>
            <w:tcW w:w="118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3-4年</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22.44%</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4,300,000.00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鹰潭市余江区江川水务有限公司</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往来款</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6,069,000.00</w:t>
            </w:r>
          </w:p>
        </w:tc>
        <w:tc>
          <w:tcPr>
            <w:tcW w:w="118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1-2年</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15.84%</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吴方保</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项目借款</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1,775,061.33</w:t>
            </w:r>
          </w:p>
        </w:tc>
        <w:tc>
          <w:tcPr>
            <w:tcW w:w="118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1年以内</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4.63%</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88,753.07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鲁皓</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项目借款</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1,102,493.08</w:t>
            </w:r>
          </w:p>
        </w:tc>
        <w:tc>
          <w:tcPr>
            <w:tcW w:w="118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1年以内</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2.88%</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55,124.65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吴细平</w:t>
            </w:r>
          </w:p>
        </w:tc>
        <w:tc>
          <w:tcPr>
            <w:tcW w:w="1134"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项目借款</w:t>
            </w: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859,111.23</w:t>
            </w:r>
          </w:p>
        </w:tc>
        <w:tc>
          <w:tcPr>
            <w:tcW w:w="1180"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1年以内，1-2年</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2.24%</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50,710.32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552"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134"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55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18,405,665.64</w:t>
            </w:r>
          </w:p>
        </w:tc>
        <w:tc>
          <w:tcPr>
            <w:tcW w:w="1180"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48.03%</w:t>
            </w:r>
          </w:p>
        </w:tc>
        <w:tc>
          <w:tcPr>
            <w:tcW w:w="160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4,494,588.04</w:t>
            </w:r>
          </w:p>
        </w:tc>
      </w:tr>
    </w:tbl>
    <w:p>
      <w:pPr>
        <w:keepNext/>
        <w:keepLines/>
        <w:spacing w:before="300" w:after="300" w:line="280" w:lineRule="exact"/>
        <w:outlineLvl w:val="4"/>
        <w:rPr>
          <w:rFonts w:ascii="宋体" w:hAnsi="宋体" w:eastAsia="宋体" w:cs="宋体"/>
          <w:b/>
          <w:bCs/>
          <w:sz w:val="18"/>
          <w:szCs w:val="18"/>
        </w:rPr>
      </w:pPr>
      <w:bookmarkStart w:id="439" w:name="_Toc989325"/>
      <w:r>
        <w:rPr>
          <w:rFonts w:ascii="宋体" w:hAnsi="宋体" w:eastAsia="宋体" w:cs="宋体"/>
          <w:b/>
          <w:bCs/>
          <w:sz w:val="18"/>
          <w:szCs w:val="18"/>
        </w:rPr>
        <w:t>6） 涉及政府补助的应收款项</w:t>
      </w:r>
      <w:bookmarkEnd w:id="439"/>
    </w:p>
    <w:p>
      <w:pPr>
        <w:keepNext/>
        <w:keepLines/>
        <w:spacing w:before="300" w:after="300" w:line="280" w:lineRule="exact"/>
        <w:outlineLvl w:val="4"/>
        <w:rPr>
          <w:rFonts w:ascii="宋体" w:hAnsi="宋体" w:eastAsia="宋体" w:cs="宋体"/>
          <w:b/>
          <w:bCs/>
          <w:sz w:val="18"/>
          <w:szCs w:val="18"/>
        </w:rPr>
      </w:pPr>
      <w:bookmarkStart w:id="440" w:name="_Toc989326"/>
      <w:r>
        <w:rPr>
          <w:rFonts w:ascii="宋体" w:hAnsi="宋体" w:eastAsia="宋体" w:cs="宋体"/>
          <w:b/>
          <w:bCs/>
          <w:sz w:val="18"/>
          <w:szCs w:val="18"/>
        </w:rPr>
        <w:t>7） 因金融资产转移而终止确认的其他应收款</w:t>
      </w:r>
      <w:bookmarkEnd w:id="440"/>
    </w:p>
    <w:p>
      <w:pPr>
        <w:pStyle w:val="11"/>
        <w:rPr>
          <w:sz w:val="18"/>
          <w:szCs w:val="18"/>
        </w:rPr>
      </w:pPr>
      <w:r>
        <w:rPr>
          <w:rFonts w:hint="eastAsia"/>
          <w:sz w:val="18"/>
          <w:szCs w:val="18"/>
        </w:rPr>
        <w:t>无</w:t>
      </w:r>
    </w:p>
    <w:p>
      <w:pPr>
        <w:keepNext/>
        <w:keepLines/>
        <w:spacing w:before="300" w:after="300" w:line="280" w:lineRule="exact"/>
        <w:outlineLvl w:val="4"/>
        <w:rPr>
          <w:rFonts w:ascii="宋体" w:hAnsi="宋体" w:eastAsia="宋体" w:cs="宋体"/>
          <w:b/>
          <w:bCs/>
          <w:sz w:val="18"/>
          <w:szCs w:val="18"/>
        </w:rPr>
      </w:pPr>
      <w:bookmarkStart w:id="441" w:name="_Toc989327"/>
      <w:r>
        <w:rPr>
          <w:rFonts w:ascii="宋体" w:hAnsi="宋体" w:eastAsia="宋体" w:cs="宋体"/>
          <w:b/>
          <w:bCs/>
          <w:sz w:val="18"/>
          <w:szCs w:val="18"/>
        </w:rPr>
        <w:t>8） 转移其他应收款且继续涉入形成的资产、负债金额</w:t>
      </w:r>
      <w:bookmarkEnd w:id="441"/>
    </w:p>
    <w:p>
      <w:pPr>
        <w:pStyle w:val="11"/>
        <w:rPr>
          <w:sz w:val="18"/>
          <w:szCs w:val="18"/>
        </w:rPr>
      </w:pPr>
      <w:r>
        <w:rPr>
          <w:rFonts w:hint="eastAsia"/>
          <w:sz w:val="18"/>
          <w:szCs w:val="18"/>
        </w:rPr>
        <w:t>无</w:t>
      </w:r>
    </w:p>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442" w:name="_Toc989328"/>
      <w:r>
        <w:rPr>
          <w:rFonts w:ascii="宋体" w:hAnsi="宋体" w:cs="宋体"/>
          <w:b/>
          <w:bCs/>
        </w:rPr>
        <w:t>3、长期股权投资</w:t>
      </w:r>
      <w:bookmarkEnd w:id="442"/>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77"/>
        <w:gridCol w:w="1377"/>
        <w:gridCol w:w="1377"/>
        <w:gridCol w:w="1377"/>
        <w:gridCol w:w="1377"/>
        <w:gridCol w:w="1377"/>
        <w:gridCol w:w="137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w:t>
            </w:r>
          </w:p>
        </w:tc>
        <w:tc>
          <w:tcPr>
            <w:tcW w:w="4131" w:type="dxa"/>
            <w:gridSpan w:val="3"/>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账面余额</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w:t>
            </w:r>
          </w:p>
        </w:tc>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账面价值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对子公司投资</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432,870,330.28</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26,930,100.00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405,940,230.28</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207,724,365.41</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46,179,835.13</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161,544,530.28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对联营、合营企业投资</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491,823,184.45</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491,823,184.45</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454,087,978.04</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454,087,978.04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377"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924,693,514.73</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26,930,100.00</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897,763,414.73</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661,812,343.45</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46,179,835.13</w:t>
            </w:r>
          </w:p>
        </w:tc>
        <w:tc>
          <w:tcPr>
            <w:tcW w:w="1377"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615,632,508.32</w:t>
            </w:r>
          </w:p>
        </w:tc>
      </w:tr>
    </w:tbl>
    <w:p>
      <w:pPr>
        <w:keepNext/>
        <w:keepLines/>
        <w:spacing w:before="300" w:after="300" w:line="280" w:lineRule="exact"/>
        <w:outlineLvl w:val="3"/>
        <w:rPr>
          <w:rFonts w:ascii="宋体" w:hAnsi="宋体" w:eastAsia="宋体" w:cs="宋体"/>
          <w:b/>
          <w:bCs/>
          <w:szCs w:val="21"/>
        </w:rPr>
      </w:pPr>
      <w:bookmarkStart w:id="443" w:name="_Toc989329"/>
      <w:r>
        <w:rPr>
          <w:rFonts w:ascii="宋体" w:hAnsi="宋体" w:eastAsia="宋体" w:cs="宋体"/>
          <w:b/>
          <w:bCs/>
          <w:szCs w:val="21"/>
        </w:rPr>
        <w:t>（1） 对子公司投资</w:t>
      </w:r>
      <w:bookmarkEnd w:id="443"/>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04"/>
        <w:gridCol w:w="1205"/>
        <w:gridCol w:w="1205"/>
        <w:gridCol w:w="1205"/>
        <w:gridCol w:w="1205"/>
        <w:gridCol w:w="1205"/>
        <w:gridCol w:w="1205"/>
        <w:gridCol w:w="120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被投资单位</w:t>
            </w:r>
          </w:p>
        </w:tc>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期初余额（账面价值）</w:t>
            </w:r>
          </w:p>
        </w:tc>
        <w:tc>
          <w:tcPr>
            <w:tcW w:w="4820"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本期增减变动</w:t>
            </w:r>
          </w:p>
        </w:tc>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期末余额（账面价值）</w:t>
            </w:r>
          </w:p>
        </w:tc>
        <w:tc>
          <w:tcPr>
            <w:tcW w:w="120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追加投资</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减少投资</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计提减值准备</w:t>
            </w:r>
          </w:p>
        </w:tc>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20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山东三川水表有限公司</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10,800,000.00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10,800,000.00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杭州三川国德物联网科技有限公司</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3,182,978.72</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3,182,978.72</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上海三川金融信息服务有限公司</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20,000,000.00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20,000,000.00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赣州天和永磁材料有限公司</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214,395,700.00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214,395,700.00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温岭甬岭水表有限公司</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49,569,900.00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49,569,900.00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26,930,100.00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鹰潭市余江区江川水务有限公司</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27,791,506.50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27,791,506.50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上海三川爱水科技有限公司</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19,249,735.13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-19,249,735.13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三川智慧水务研究院（杭州）有限公司</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1,700,000.00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500,000.00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2,200,000.00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广西三川智慧水务有限公司</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510,000.00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510,000.00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北京三川通达智慧科技有限公司</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765,000.00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765,000.00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江西三川科技有限公司</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42,225,145.06</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42,225,145.06</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鹰潭市景川水务有限公司</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5,000,000.00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5,000,000.00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赣州三川稀土有限责任公司</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2,000,000.00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2,000,000.00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赣州川宇国际贸易有限公司</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27,500,000.00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27,500,000.00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20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161,544,530.28</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244,395,700.00</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19,249,735.13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-19,249,735.13</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405,940,230.28</w:t>
            </w:r>
          </w:p>
        </w:tc>
        <w:tc>
          <w:tcPr>
            <w:tcW w:w="1205"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26,930,100.00</w:t>
            </w:r>
          </w:p>
        </w:tc>
      </w:tr>
    </w:tbl>
    <w:p>
      <w:pPr>
        <w:keepNext/>
        <w:keepLines/>
        <w:spacing w:before="300" w:after="300" w:line="280" w:lineRule="exact"/>
        <w:outlineLvl w:val="3"/>
        <w:rPr>
          <w:rFonts w:ascii="宋体" w:hAnsi="宋体" w:eastAsia="宋体" w:cs="宋体"/>
          <w:b/>
          <w:bCs/>
          <w:szCs w:val="21"/>
        </w:rPr>
      </w:pPr>
      <w:bookmarkStart w:id="444" w:name="_Toc989330"/>
      <w:r>
        <w:rPr>
          <w:rFonts w:ascii="宋体" w:hAnsi="宋体" w:eastAsia="宋体" w:cs="宋体"/>
          <w:b/>
          <w:bCs/>
          <w:szCs w:val="21"/>
        </w:rPr>
        <w:t>（2） 对联营、合营企业投资</w:t>
      </w:r>
      <w:bookmarkEnd w:id="444"/>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03"/>
        <w:gridCol w:w="803"/>
        <w:gridCol w:w="803"/>
        <w:gridCol w:w="803"/>
        <w:gridCol w:w="803"/>
        <w:gridCol w:w="803"/>
        <w:gridCol w:w="803"/>
        <w:gridCol w:w="803"/>
        <w:gridCol w:w="803"/>
        <w:gridCol w:w="805"/>
        <w:gridCol w:w="803"/>
        <w:gridCol w:w="80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投资单位</w:t>
            </w:r>
          </w:p>
        </w:tc>
        <w:tc>
          <w:tcPr>
            <w:tcW w:w="803"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期初余额（账面价值）</w:t>
            </w:r>
          </w:p>
        </w:tc>
        <w:tc>
          <w:tcPr>
            <w:tcW w:w="6426" w:type="dxa"/>
            <w:gridSpan w:val="8"/>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本期增减变动</w:t>
            </w:r>
          </w:p>
        </w:tc>
        <w:tc>
          <w:tcPr>
            <w:tcW w:w="803"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期末余额（账面价值）</w:t>
            </w:r>
          </w:p>
        </w:tc>
        <w:tc>
          <w:tcPr>
            <w:tcW w:w="803"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减值准备期末余额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803"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追加投资</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减少投资</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权益法下确认的投资损益</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其他综合收益调整</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其他权益变动</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宣告发放现金股利或利润</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计提减值准备</w:t>
            </w:r>
          </w:p>
        </w:tc>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其他</w:t>
            </w:r>
          </w:p>
        </w:tc>
        <w:tc>
          <w:tcPr>
            <w:tcW w:w="803"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803"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一、合营企业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9" w:type="dxa"/>
            <w:gridSpan w:val="1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二、联营企业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江西三川埃尔斯特水表有限公司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10,396,846.62</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3,343,341.67</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13,740,188.29</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鹰潭市供水集团有限公司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302,709,418.55</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28,835,698.78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92,000,000.00</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-153,726,959.43</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85,818,157.90</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鹰潭市三川实业发展有限公司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73,311,980.45</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153,726,959.43</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227,038,939.88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中稀天马新材料科技股份有限公司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120,178,560.38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13,277,813.98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133,456,374.36</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江西川仪三川智慧水务科技有限公司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4,601,913.94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1,580,604.94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6,182,518.88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山西万家寨三合智慧科技有限公司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5,464,956.28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159,875.48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5,624,831.76</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苏州吾爱易达物联网有限公司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6,519,752.08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9,545,454.00</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-501,703.84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1,088,053.04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16,651,555.28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北京天川智联科技有限责任公司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3,091,867.09</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601,418.90</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757,680.37</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2,935,605.62</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上海储睿达智慧能源科技有限公司</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1,124,663.10</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-749,650.62</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375,012.48</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小计</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454,087,978.04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9,545,454.00</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119,859,379.74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1,088,053.04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92,757,680.37</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491,823,184.45</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0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454,087,978.04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9,545,454.00</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119,859,379.74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1,088,053.04</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92,757,680.37</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491,823,184.45</w:t>
            </w:r>
          </w:p>
        </w:tc>
        <w:tc>
          <w:tcPr>
            <w:tcW w:w="80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bl>
    <w:p>
      <w:pPr>
        <w:keepNext/>
        <w:keepLines/>
        <w:spacing w:before="300" w:after="300" w:line="280" w:lineRule="exact"/>
        <w:outlineLvl w:val="3"/>
        <w:rPr>
          <w:rFonts w:ascii="宋体" w:hAnsi="宋体" w:eastAsia="宋体" w:cs="宋体"/>
          <w:b/>
          <w:bCs/>
          <w:szCs w:val="21"/>
        </w:rPr>
      </w:pPr>
      <w:bookmarkStart w:id="445" w:name="_Toc989331"/>
      <w:r>
        <w:rPr>
          <w:rFonts w:ascii="宋体" w:hAnsi="宋体" w:eastAsia="宋体" w:cs="宋体"/>
          <w:b/>
          <w:bCs/>
          <w:szCs w:val="21"/>
        </w:rPr>
        <w:t>（3） 其他说明</w:t>
      </w:r>
      <w:bookmarkEnd w:id="445"/>
    </w:p>
    <w:p>
      <w:pPr>
        <w:pStyle w:val="11"/>
        <w:spacing w:before="40" w:beforeAutospacing="0" w:after="40" w:afterAutospacing="0"/>
        <w:ind w:firstLine="360"/>
      </w:pPr>
      <w:r>
        <w:rPr>
          <w:rFonts w:hint="eastAsia"/>
          <w:sz w:val="18"/>
          <w:szCs w:val="18"/>
        </w:rPr>
        <w:t>报告期内，鹰潭市供水集团有限公司采取存续分立的方式进行分立，即鹰潭市供水集团有限公司继续存续，同时派生出鹰潭市三川实业发展有限公司。分立后鹰潭市供水集团有限公司与三川实业发展有限公司的股权结构及各股东的持股比例保持不变，公司对分立后的股权价值进行了评估，对其账面价值进行了调整。</w:t>
      </w:r>
    </w:p>
    <w:p>
      <w:pPr>
        <w:pStyle w:val="4"/>
        <w:spacing w:line="280" w:lineRule="exact"/>
        <w:jc w:val="left"/>
        <w:rPr>
          <w:rFonts w:ascii="宋体" w:hAnsi="宋体" w:cs="宋体"/>
          <w:b/>
          <w:bCs/>
        </w:rPr>
      </w:pPr>
      <w:bookmarkStart w:id="446" w:name="_Toc989332"/>
      <w:r>
        <w:rPr>
          <w:rFonts w:ascii="宋体" w:hAnsi="宋体" w:cs="宋体"/>
          <w:b/>
          <w:bCs/>
        </w:rPr>
        <w:t>4、营业收入和营业成本</w:t>
      </w:r>
      <w:bookmarkEnd w:id="446"/>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85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收入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成本</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收入</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成本</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主营业务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731,674,480.60</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533,919,056.64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679,511,578.31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458,742,399.04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其他业务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17,777,939.63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11,283,368.94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11,303,793.73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10,574,904.68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749,452,420.23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545,202,425.58</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690,815,372.04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469,317,303.72</w:t>
            </w:r>
          </w:p>
        </w:tc>
      </w:tr>
    </w:tbl>
    <w:p>
      <w:pPr>
        <w:spacing w:line="240" w:lineRule="exact"/>
        <w:rPr>
          <w:rFonts w:ascii="宋体" w:hAnsi="宋体" w:eastAsia="宋体" w:cs="宋体"/>
          <w:sz w:val="18"/>
          <w:szCs w:val="18"/>
        </w:rPr>
      </w:pPr>
      <w:r>
        <w:rPr>
          <w:rFonts w:ascii="宋体" w:hAnsi="宋体" w:eastAsia="宋体" w:cs="宋体"/>
          <w:sz w:val="18"/>
          <w:szCs w:val="18"/>
        </w:rPr>
        <w:t>收入相关信息：</w:t>
      </w:r>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合同分类</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分部1</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分部2</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center"/>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合计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商品类型</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其中：</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水表</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673,495,560.02</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673,495,560.02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其他</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75,956,860.21</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75,956,860.21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按经营地区分类</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　其中：</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国内</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690,007,025.74</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690,007,025.74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国外</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59,445,394.49</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59,445,394.49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市场或客户类型</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　其中：</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合同类型</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　其中：</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按商品转让的时间分类</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　其中：</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按合同期限分类</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　其中：</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按销售渠道分类</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　其中：</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直销</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677,345,760.65</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677,345,760.65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40" w:hRule="atLeast"/>
        </w:trPr>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经销</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72,106,659.58</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72,106,659.58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749,452,420.23</w:t>
            </w: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192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749,452,420.23</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与履约义务相关的信息：</w:t>
      </w:r>
    </w:p>
    <w:p>
      <w:pPr>
        <w:spacing w:before="100" w:after="100"/>
        <w:ind w:firstLine="360" w:firstLineChars="200"/>
        <w:rPr>
          <w:rFonts w:ascii="宋体" w:hAnsi="宋体" w:eastAsia="宋体" w:cs="宋体"/>
          <w:sz w:val="18"/>
          <w:szCs w:val="18"/>
        </w:rPr>
      </w:pPr>
      <w:r>
        <w:rPr>
          <w:rFonts w:hint="eastAsia" w:ascii="宋体" w:hAnsi="宋体" w:eastAsia="宋体" w:cs="宋体"/>
          <w:sz w:val="18"/>
          <w:szCs w:val="18"/>
        </w:rPr>
        <w:t>公司销售商品的履约时间按合同约定，相关履约条款为根据合同约定收款及发货，国内销售于商品发出、取得商品控制权转移的相关凭据、并确定相关货款能收回时确认收入；出口销售，于完成海关报关手续、并确定相关货款能收回时确认收入。提供劳务及工程合同履约时间通常在</w:t>
      </w:r>
      <w:r>
        <w:rPr>
          <w:rFonts w:ascii="宋体" w:hAnsi="宋体" w:eastAsia="宋体" w:cs="宋体"/>
          <w:sz w:val="18"/>
          <w:szCs w:val="18"/>
        </w:rPr>
        <w:t>1-6月内，相关履约条款为根据合同约定提供劳务及收款，在相关劳务或商品控制权转移给客户时确认收入。</w:t>
      </w:r>
    </w:p>
    <w:p>
      <w:pPr>
        <w:spacing w:line="240" w:lineRule="exact"/>
        <w:rPr>
          <w:rFonts w:ascii="宋体" w:hAnsi="宋体" w:eastAsia="宋体" w:cs="宋体"/>
          <w:sz w:val="18"/>
          <w:szCs w:val="18"/>
        </w:rPr>
      </w:pPr>
      <w:r>
        <w:rPr>
          <w:rFonts w:ascii="宋体" w:hAnsi="宋体" w:eastAsia="宋体" w:cs="宋体"/>
          <w:sz w:val="18"/>
          <w:szCs w:val="18"/>
        </w:rPr>
        <w:t>本报告期末已签订合同、但尚未履行或尚未履行完毕的履约义务所对应的收入金额为0.00元，其中，元预计将于年度确认收入，元预计将于年度确认收入，元预计将于年度确认收入。</w:t>
      </w:r>
    </w:p>
    <w:p>
      <w:pPr>
        <w:spacing w:before="100" w:after="100" w:line="240" w:lineRule="exact"/>
      </w:pPr>
      <w:r>
        <w:rPr>
          <w:rFonts w:ascii="宋体" w:hAnsi="宋体" w:eastAsia="宋体" w:cs="宋体"/>
          <w:sz w:val="18"/>
          <w:szCs w:val="18"/>
        </w:rPr>
        <w:t>其他说明：</w:t>
      </w:r>
    </w:p>
    <w:p>
      <w:pPr>
        <w:pStyle w:val="4"/>
        <w:spacing w:line="280" w:lineRule="exact"/>
        <w:jc w:val="left"/>
        <w:rPr>
          <w:rFonts w:ascii="宋体" w:hAnsi="宋体" w:cs="宋体"/>
          <w:b/>
          <w:bCs/>
        </w:rPr>
      </w:pPr>
      <w:bookmarkStart w:id="447" w:name="_Toc989333"/>
      <w:r>
        <w:rPr>
          <w:rFonts w:ascii="宋体" w:hAnsi="宋体" w:cs="宋体"/>
          <w:b/>
          <w:bCs/>
        </w:rPr>
        <w:t>5、投资收益</w:t>
      </w:r>
      <w:bookmarkEnd w:id="447"/>
    </w:p>
    <w:p>
      <w:pPr>
        <w:spacing w:before="40" w:after="4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213"/>
        <w:gridCol w:w="3213"/>
        <w:gridCol w:w="3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本期发生额</w:t>
            </w:r>
          </w:p>
        </w:tc>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上期发生额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成本法核算的长期股权投资收益</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4,200,000.00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权益法核算的长期股权投资收益</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119,859,379.74</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62,959,211.54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处置长期股权投资产生的投资收益</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-566,165.05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交易性金融资产在持有期间的投资收益</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3,664,489.60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4,043,518.97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债权投资在持有期间取得的利息收入</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5,525,203.21</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8,258,995.21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r>
              <w:rPr>
                <w:rFonts w:ascii="宋体" w:hAnsi="宋体" w:eastAsia="宋体" w:cs="宋体"/>
                <w:sz w:val="18"/>
                <w:szCs w:val="18"/>
              </w:rPr>
              <w:t>债务重组损益</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-1,050,000.00</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3213"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132,199,072.55</w:t>
            </w:r>
          </w:p>
        </w:tc>
        <w:tc>
          <w:tcPr>
            <w:tcW w:w="3213"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74,695,560.67</w:t>
            </w:r>
          </w:p>
        </w:tc>
      </w:tr>
    </w:tbl>
    <w:p>
      <w:pPr>
        <w:pStyle w:val="4"/>
        <w:spacing w:line="280" w:lineRule="exact"/>
        <w:jc w:val="left"/>
      </w:pPr>
      <w:bookmarkStart w:id="448" w:name="_Toc989334"/>
      <w:r>
        <w:rPr>
          <w:rFonts w:ascii="宋体" w:hAnsi="宋体" w:cs="宋体"/>
          <w:b/>
          <w:bCs/>
        </w:rPr>
        <w:t>6、其他</w:t>
      </w:r>
      <w:bookmarkEnd w:id="448"/>
    </w:p>
    <w:p>
      <w:pPr>
        <w:pStyle w:val="3"/>
        <w:spacing w:before="300" w:after="300" w:line="320" w:lineRule="exact"/>
        <w:rPr>
          <w:rFonts w:ascii="宋体" w:hAnsi="宋体" w:eastAsia="宋体" w:cs="宋体"/>
          <w:b/>
          <w:bCs/>
          <w:sz w:val="24"/>
          <w:szCs w:val="24"/>
        </w:rPr>
      </w:pPr>
      <w:bookmarkStart w:id="449" w:name="_Toc989335"/>
      <w:r>
        <w:rPr>
          <w:rFonts w:ascii="宋体" w:hAnsi="宋体" w:eastAsia="宋体" w:cs="宋体"/>
          <w:b/>
          <w:bCs/>
          <w:sz w:val="24"/>
          <w:szCs w:val="24"/>
        </w:rPr>
        <w:t>十八、补充资料</w:t>
      </w:r>
      <w:bookmarkEnd w:id="449"/>
    </w:p>
    <w:p>
      <w:pPr>
        <w:pStyle w:val="4"/>
        <w:spacing w:line="280" w:lineRule="exact"/>
        <w:jc w:val="left"/>
        <w:rPr>
          <w:rFonts w:ascii="宋体" w:hAnsi="宋体" w:cs="宋体"/>
          <w:b/>
          <w:bCs/>
        </w:rPr>
      </w:pPr>
      <w:bookmarkStart w:id="450" w:name="_Toc989336"/>
      <w:r>
        <w:rPr>
          <w:rFonts w:ascii="宋体" w:hAnsi="宋体" w:cs="宋体"/>
          <w:b/>
          <w:bCs/>
        </w:rPr>
        <w:t>1、当期非经常性损益明细表</w:t>
      </w:r>
      <w:bookmarkEnd w:id="450"/>
    </w:p>
    <w:p>
      <w:pPr>
        <w:spacing w:line="240" w:lineRule="exact"/>
        <w:rPr>
          <w:rFonts w:ascii="宋体" w:hAnsi="宋体" w:eastAsia="宋体" w:cs="宋体"/>
          <w:sz w:val="18"/>
          <w:szCs w:val="18"/>
        </w:rPr>
      </w:pPr>
      <w:r>
        <w:rPr>
          <w:szCs w:val="24"/>
        </w:rPr>
        <w:t>√</w:t>
      </w:r>
      <w:r>
        <w:rPr>
          <w:rFonts w:ascii="宋体" w:hAnsi="宋体" w:eastAsia="宋体" w:cs="宋体"/>
          <w:sz w:val="18"/>
          <w:szCs w:val="18"/>
        </w:rPr>
        <w:t>适用 □不适用</w:t>
      </w:r>
    </w:p>
    <w:p>
      <w:pPr>
        <w:spacing w:before="120" w:after="120" w:line="240" w:lineRule="exact"/>
        <w:jc w:val="right"/>
        <w:rPr>
          <w:rFonts w:ascii="宋体" w:hAnsi="宋体" w:eastAsia="宋体" w:cs="宋体"/>
          <w:sz w:val="18"/>
          <w:szCs w:val="18"/>
        </w:rPr>
      </w:pPr>
      <w:r>
        <w:rPr>
          <w:rFonts w:ascii="宋体" w:hAnsi="宋体" w:eastAsia="宋体" w:cs="宋体"/>
          <w:sz w:val="18"/>
          <w:szCs w:val="18"/>
        </w:rPr>
        <w:t>单位：元</w:t>
      </w:r>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529"/>
        <w:gridCol w:w="2409"/>
        <w:gridCol w:w="170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52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项目</w:t>
            </w:r>
          </w:p>
        </w:tc>
        <w:tc>
          <w:tcPr>
            <w:tcW w:w="240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金额</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52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非流动资产处置损益</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5,942,808.44</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52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计入当期损益的政府补助（与公司正常经营业务密切相关，符合国家政策规定、按照一定标准定额或定量持续享受的政府补助除外）</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12,911,373.52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52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债务重组损益</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-1,050,000.00</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52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10,252,600.26</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52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除上述各项之外的其他营业外收入和支出</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29,453.87</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52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其他符合非经常性损益定义的损益项目</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115,739.82</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52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减：所得税影响额</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3,885,781.44</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52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ind w:firstLine="360" w:firstLineChars="200"/>
              <w:rPr>
                <w:rFonts w:ascii="宋体" w:hAnsi="宋体" w:eastAsia="宋体" w:cs="宋体"/>
                <w:sz w:val="18"/>
                <w:szCs w:val="18"/>
              </w:rPr>
            </w:pPr>
            <w:r>
              <w:rPr>
                <w:rFonts w:ascii="宋体" w:hAnsi="宋体" w:eastAsia="宋体" w:cs="宋体"/>
                <w:sz w:val="18"/>
                <w:szCs w:val="18"/>
              </w:rPr>
              <w:t>少数股东权益影响额</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1,845,241.29</w:t>
            </w:r>
          </w:p>
        </w:tc>
        <w:tc>
          <w:tcPr>
            <w:tcW w:w="1701" w:type="dxa"/>
            <w:tcBorders>
              <w:top w:val="single" w:color="auto" w:sz="2" w:space="0"/>
              <w:left w:val="single" w:color="auto" w:sz="2" w:space="0"/>
              <w:bottom w:val="single" w:color="auto" w:sz="2" w:space="0"/>
              <w:right w:val="single" w:color="auto" w:sz="2" w:space="0"/>
            </w:tcBorders>
            <w:vAlign w:val="center"/>
          </w:tcPr>
          <w:p>
            <w:pPr>
              <w:spacing w:line="240" w:lineRule="exact"/>
              <w:rPr>
                <w:rFonts w:ascii="宋体" w:hAnsi="宋体" w:eastAsia="宋体" w:cs="宋体"/>
                <w:sz w:val="18"/>
                <w:szCs w:val="1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5529"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合计</w:t>
            </w:r>
          </w:p>
        </w:tc>
        <w:tc>
          <w:tcPr>
            <w:tcW w:w="2409"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22,470,953.18</w:t>
            </w:r>
          </w:p>
        </w:tc>
        <w:tc>
          <w:tcPr>
            <w:tcW w:w="1701"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w:t>
            </w:r>
          </w:p>
        </w:tc>
      </w:tr>
    </w:tbl>
    <w:p>
      <w:pPr>
        <w:spacing w:before="100" w:after="100" w:line="240" w:lineRule="exact"/>
        <w:rPr>
          <w:rFonts w:ascii="宋体" w:hAnsi="宋体" w:eastAsia="宋体" w:cs="宋体"/>
          <w:sz w:val="18"/>
          <w:szCs w:val="18"/>
        </w:rPr>
      </w:pPr>
      <w:r>
        <w:rPr>
          <w:rFonts w:ascii="宋体" w:hAnsi="宋体" w:eastAsia="宋体" w:cs="宋体"/>
          <w:sz w:val="18"/>
          <w:szCs w:val="18"/>
        </w:rPr>
        <w:t>其他符合非经常性损益定义的损益项目的具体情况：</w:t>
      </w:r>
    </w:p>
    <w:p>
      <w:pPr>
        <w:spacing w:before="100" w:after="100" w:line="240" w:lineRule="exact"/>
        <w:rPr>
          <w:rFonts w:ascii="宋体" w:hAnsi="宋体" w:eastAsia="宋体" w:cs="宋体"/>
          <w:sz w:val="18"/>
          <w:szCs w:val="18"/>
        </w:rPr>
      </w:pPr>
      <w:r>
        <w:rPr>
          <w:szCs w:val="24"/>
        </w:rPr>
        <w:t>√</w:t>
      </w:r>
      <w:r>
        <w:rPr>
          <w:rFonts w:ascii="宋体" w:hAnsi="宋体" w:eastAsia="宋体" w:cs="宋体"/>
          <w:sz w:val="18"/>
          <w:szCs w:val="18"/>
        </w:rPr>
        <w:t>适用 □不适用</w:t>
      </w:r>
    </w:p>
    <w:p>
      <w:pPr>
        <w:pStyle w:val="11"/>
        <w:spacing w:before="0" w:beforeAutospacing="0" w:after="0" w:afterAutospacing="0"/>
        <w:rPr>
          <w:sz w:val="18"/>
          <w:szCs w:val="18"/>
        </w:rPr>
      </w:pPr>
      <w:r>
        <w:rPr>
          <w:rFonts w:hint="eastAsia"/>
          <w:sz w:val="18"/>
          <w:szCs w:val="18"/>
        </w:rPr>
        <w:t>公司本期其他符合非经常性损益定义的损益项目是代扣代缴个人所得税的手续费</w:t>
      </w:r>
    </w:p>
    <w:p>
      <w:pPr>
        <w:spacing w:before="100" w:after="100" w:line="240" w:lineRule="exact"/>
        <w:rPr>
          <w:rFonts w:ascii="宋体" w:hAnsi="宋体" w:eastAsia="宋体" w:cs="宋体"/>
          <w:sz w:val="18"/>
          <w:szCs w:val="18"/>
        </w:rPr>
      </w:pPr>
      <w:r>
        <w:rPr>
          <w:rFonts w:ascii="宋体" w:hAnsi="宋体" w:eastAsia="宋体" w:cs="宋体"/>
          <w:sz w:val="18"/>
          <w:szCs w:val="18"/>
        </w:rPr>
        <w:t>将《公开发行证券的公司信息披露解释性公告第1号——非经常性损益》中列举的非经常性损益项目界定为经常性损益项目的情况说明</w:t>
      </w:r>
    </w:p>
    <w:p>
      <w:pPr>
        <w:spacing w:before="100" w:after="100"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pStyle w:val="4"/>
        <w:spacing w:line="280" w:lineRule="exact"/>
        <w:jc w:val="left"/>
        <w:rPr>
          <w:rFonts w:ascii="宋体" w:hAnsi="宋体" w:cs="宋体"/>
          <w:b/>
          <w:bCs/>
        </w:rPr>
      </w:pPr>
      <w:bookmarkStart w:id="451" w:name="_Toc989337"/>
      <w:r>
        <w:rPr>
          <w:rFonts w:ascii="宋体" w:hAnsi="宋体" w:cs="宋体"/>
          <w:b/>
          <w:bCs/>
        </w:rPr>
        <w:t>2、净资产收益率及每股收益</w:t>
      </w:r>
      <w:bookmarkEnd w:id="451"/>
    </w:p>
    <w:tbl>
      <w:tblPr>
        <w:tblStyle w:val="13"/>
        <w:tblW w:w="9639"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835"/>
        <w:gridCol w:w="2268"/>
        <w:gridCol w:w="2126"/>
        <w:gridCol w:w="24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835"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报告期利润</w:t>
            </w:r>
          </w:p>
        </w:tc>
        <w:tc>
          <w:tcPr>
            <w:tcW w:w="2268" w:type="dxa"/>
            <w:vMerge w:val="restart"/>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加权平均净资产收益率</w:t>
            </w:r>
          </w:p>
        </w:tc>
        <w:tc>
          <w:tcPr>
            <w:tcW w:w="453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每股收益</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835"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268" w:type="dxa"/>
            <w:vMerge w:val="continue"/>
            <w:tcBorders>
              <w:top w:val="single" w:color="auto" w:sz="2" w:space="0"/>
              <w:left w:val="single" w:color="auto" w:sz="2" w:space="0"/>
              <w:bottom w:val="single" w:color="auto" w:sz="2" w:space="0"/>
              <w:right w:val="single" w:color="auto" w:sz="2" w:space="0"/>
            </w:tcBorders>
            <w:shd w:val="clear" w:color="auto" w:fill="D3D3D3"/>
            <w:vAlign w:val="center"/>
          </w:tcPr>
          <w:p/>
        </w:tc>
        <w:tc>
          <w:tcPr>
            <w:tcW w:w="2126"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基本每股收益（元/股）</w:t>
            </w:r>
          </w:p>
        </w:tc>
        <w:tc>
          <w:tcPr>
            <w:tcW w:w="2410"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jc w:val="center"/>
              <w:rPr>
                <w:rFonts w:ascii="宋体" w:hAnsi="宋体" w:eastAsia="宋体" w:cs="宋体"/>
                <w:sz w:val="18"/>
                <w:szCs w:val="18"/>
              </w:rPr>
            </w:pPr>
            <w:r>
              <w:rPr>
                <w:rFonts w:ascii="宋体" w:hAnsi="宋体" w:eastAsia="宋体" w:cs="宋体"/>
                <w:sz w:val="18"/>
                <w:szCs w:val="18"/>
              </w:rPr>
              <w:t>稀释每股收益（元/股）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83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归属于公司普通股股东的净利润</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10.05%</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0.2057</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0.2057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835" w:type="dxa"/>
            <w:tcBorders>
              <w:top w:val="single" w:color="auto" w:sz="2" w:space="0"/>
              <w:left w:val="single" w:color="auto" w:sz="2" w:space="0"/>
              <w:bottom w:val="single" w:color="auto" w:sz="2" w:space="0"/>
              <w:right w:val="single" w:color="auto" w:sz="2" w:space="0"/>
            </w:tcBorders>
            <w:shd w:val="clear" w:color="auto" w:fill="D3D3D3"/>
            <w:vAlign w:val="center"/>
          </w:tcPr>
          <w:p>
            <w:pPr>
              <w:spacing w:before="40" w:after="40" w:line="240" w:lineRule="exact"/>
              <w:rPr>
                <w:rFonts w:ascii="宋体" w:hAnsi="宋体" w:eastAsia="宋体" w:cs="宋体"/>
                <w:sz w:val="18"/>
                <w:szCs w:val="18"/>
              </w:rPr>
            </w:pPr>
            <w:r>
              <w:rPr>
                <w:rFonts w:ascii="宋体" w:hAnsi="宋体" w:eastAsia="宋体" w:cs="宋体"/>
                <w:sz w:val="18"/>
                <w:szCs w:val="18"/>
              </w:rPr>
              <w:t>扣除非经常性损益后归属于公司普通股股东的净利润</w:t>
            </w:r>
          </w:p>
        </w:tc>
        <w:tc>
          <w:tcPr>
            <w:tcW w:w="2268"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8.99%</w:t>
            </w:r>
          </w:p>
        </w:tc>
        <w:tc>
          <w:tcPr>
            <w:tcW w:w="2126"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0.1841</w:t>
            </w:r>
          </w:p>
        </w:tc>
        <w:tc>
          <w:tcPr>
            <w:tcW w:w="2410" w:type="dxa"/>
            <w:tcBorders>
              <w:top w:val="single" w:color="auto" w:sz="2" w:space="0"/>
              <w:left w:val="single" w:color="auto" w:sz="2" w:space="0"/>
              <w:bottom w:val="single" w:color="auto" w:sz="2" w:space="0"/>
              <w:right w:val="single" w:color="auto" w:sz="2" w:space="0"/>
            </w:tcBorders>
            <w:vAlign w:val="center"/>
          </w:tcPr>
          <w:p>
            <w:pPr>
              <w:spacing w:line="240" w:lineRule="exact"/>
              <w:jc w:val="right"/>
              <w:rPr>
                <w:rFonts w:ascii="宋体" w:hAnsi="宋体" w:eastAsia="宋体" w:cs="宋体"/>
                <w:sz w:val="18"/>
                <w:szCs w:val="18"/>
              </w:rPr>
            </w:pPr>
            <w:r>
              <w:rPr>
                <w:rFonts w:ascii="宋体" w:hAnsi="宋体" w:eastAsia="宋体" w:cs="宋体"/>
                <w:sz w:val="18"/>
                <w:szCs w:val="18"/>
              </w:rPr>
              <w:t>0.1841</w:t>
            </w:r>
          </w:p>
        </w:tc>
      </w:tr>
    </w:tbl>
    <w:p>
      <w:pPr>
        <w:pStyle w:val="4"/>
        <w:spacing w:line="280" w:lineRule="exact"/>
        <w:jc w:val="left"/>
        <w:rPr>
          <w:rFonts w:ascii="宋体" w:hAnsi="宋体" w:cs="宋体"/>
          <w:b/>
          <w:bCs/>
        </w:rPr>
      </w:pPr>
      <w:bookmarkStart w:id="452" w:name="_Toc989338"/>
      <w:r>
        <w:rPr>
          <w:rFonts w:ascii="宋体" w:hAnsi="宋体" w:cs="宋体"/>
          <w:b/>
          <w:bCs/>
        </w:rPr>
        <w:t>3、境内外会计准则下会计数据差异</w:t>
      </w:r>
      <w:bookmarkEnd w:id="452"/>
    </w:p>
    <w:p>
      <w:pPr>
        <w:keepNext/>
        <w:keepLines/>
        <w:spacing w:before="300" w:after="300" w:line="280" w:lineRule="exact"/>
        <w:outlineLvl w:val="3"/>
        <w:rPr>
          <w:rFonts w:ascii="宋体" w:hAnsi="宋体" w:eastAsia="宋体" w:cs="宋体"/>
          <w:b/>
          <w:bCs/>
          <w:szCs w:val="21"/>
        </w:rPr>
      </w:pPr>
      <w:bookmarkStart w:id="453" w:name="_Toc989339"/>
      <w:r>
        <w:rPr>
          <w:rFonts w:ascii="宋体" w:hAnsi="宋体" w:eastAsia="宋体" w:cs="宋体"/>
          <w:b/>
          <w:bCs/>
          <w:szCs w:val="21"/>
        </w:rPr>
        <w:t>（1） 同时按照国际会计准则与按中国会计准则披露的财务报告中净利润和净资产差异情况</w:t>
      </w:r>
      <w:bookmarkEnd w:id="453"/>
    </w:p>
    <w:p>
      <w:pPr>
        <w:spacing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keepNext/>
        <w:keepLines/>
        <w:spacing w:before="300" w:after="300" w:line="280" w:lineRule="exact"/>
        <w:outlineLvl w:val="3"/>
        <w:rPr>
          <w:rFonts w:ascii="宋体" w:hAnsi="宋体" w:eastAsia="宋体" w:cs="宋体"/>
          <w:b/>
          <w:bCs/>
          <w:szCs w:val="21"/>
        </w:rPr>
      </w:pPr>
      <w:bookmarkStart w:id="454" w:name="_Toc989340"/>
      <w:r>
        <w:rPr>
          <w:rFonts w:ascii="宋体" w:hAnsi="宋体" w:eastAsia="宋体" w:cs="宋体"/>
          <w:b/>
          <w:bCs/>
          <w:szCs w:val="21"/>
        </w:rPr>
        <w:t>（2） 同时按照境外会计准则与按中国会计准则披露的财务报告中净利润和净资产差异情况</w:t>
      </w:r>
      <w:bookmarkEnd w:id="454"/>
    </w:p>
    <w:p>
      <w:pPr>
        <w:spacing w:line="240" w:lineRule="exact"/>
        <w:rPr>
          <w:rFonts w:ascii="宋体" w:hAnsi="宋体" w:eastAsia="宋体" w:cs="宋体"/>
          <w:sz w:val="18"/>
          <w:szCs w:val="18"/>
        </w:rPr>
      </w:pPr>
      <w:r>
        <w:rPr>
          <w:rFonts w:ascii="宋体" w:hAnsi="宋体" w:eastAsia="宋体" w:cs="宋体"/>
          <w:sz w:val="18"/>
          <w:szCs w:val="18"/>
        </w:rPr>
        <w:t xml:space="preserve">□适用 </w:t>
      </w:r>
      <w:r>
        <w:rPr>
          <w:szCs w:val="24"/>
        </w:rPr>
        <w:t>√</w:t>
      </w:r>
      <w:r>
        <w:rPr>
          <w:rFonts w:ascii="宋体" w:hAnsi="宋体" w:eastAsia="宋体" w:cs="宋体"/>
          <w:sz w:val="18"/>
          <w:szCs w:val="18"/>
        </w:rPr>
        <w:t>不适用</w:t>
      </w:r>
    </w:p>
    <w:p>
      <w:pPr>
        <w:keepNext/>
        <w:keepLines/>
        <w:spacing w:before="300" w:after="300" w:line="280" w:lineRule="exact"/>
        <w:outlineLvl w:val="3"/>
        <w:rPr>
          <w:rFonts w:ascii="宋体" w:hAnsi="宋体" w:eastAsia="宋体" w:cs="宋体"/>
          <w:b/>
          <w:bCs/>
          <w:szCs w:val="21"/>
        </w:rPr>
      </w:pPr>
      <w:bookmarkStart w:id="455" w:name="_Toc989341"/>
      <w:r>
        <w:rPr>
          <w:rFonts w:ascii="宋体" w:hAnsi="宋体" w:eastAsia="宋体" w:cs="宋体"/>
          <w:b/>
          <w:bCs/>
          <w:szCs w:val="21"/>
        </w:rPr>
        <w:t>（3） 境内外会计准则下会计数据差异原因说明，对已经境外审计机构审计的数据进行差异调节的，应注明该境外机构的名称</w:t>
      </w:r>
      <w:bookmarkEnd w:id="455"/>
    </w:p>
    <w:bookmarkEnd w:id="145"/>
    <w:p>
      <w:pPr>
        <w:autoSpaceDE w:val="0"/>
        <w:autoSpaceDN w:val="0"/>
        <w:adjustRightInd w:val="0"/>
        <w:snapToGrid w:val="0"/>
        <w:spacing w:line="500" w:lineRule="atLeast"/>
        <w:ind w:right="480" w:firstLine="5145" w:firstLineChars="2450"/>
        <w:jc w:val="center"/>
        <w:textAlignment w:val="baseline"/>
        <w:rPr>
          <w:color w:val="000000"/>
          <w:szCs w:val="21"/>
        </w:rPr>
      </w:pPr>
    </w:p>
    <w:p>
      <w:pPr>
        <w:keepNext/>
        <w:keepLines/>
        <w:spacing w:before="300" w:after="300" w:line="280" w:lineRule="exact"/>
        <w:jc w:val="right"/>
        <w:outlineLvl w:val="3"/>
        <w:rPr>
          <w:rFonts w:ascii="宋体" w:hAnsi="宋体" w:eastAsia="宋体" w:cs="宋体"/>
          <w:b/>
          <w:bCs/>
          <w:szCs w:val="21"/>
        </w:rPr>
      </w:pPr>
    </w:p>
    <w:sectPr>
      <w:headerReference r:id="rId5" w:type="default"/>
      <w:footerReference r:id="rId6" w:type="default"/>
      <w:pgSz w:w="11905" w:h="16840"/>
      <w:pgMar w:top="1440" w:right="1134" w:bottom="1440" w:left="1134"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fldChar w:fldCharType="begin"/>
    </w:r>
    <w:r>
      <w:instrText xml:space="preserve">PAGE   \* MERGEFORMAT</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1"/>
      </w:pBdr>
    </w:pPr>
    <w:r>
      <w:t>三川智慧科技股份有限公司2022年年度报告全文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rPr>
        <w:rFonts w:hint="eastAsia"/>
      </w:rPr>
      <w:t>三川智慧科技股份有限公司2022年年度报告全文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41F58E"/>
    <w:multiLevelType w:val="singleLevel"/>
    <w:tmpl w:val="BD41F58E"/>
    <w:lvl w:ilvl="0" w:tentative="0">
      <w:start w:val="5"/>
      <w:numFmt w:val="chineseCounting"/>
      <w:suff w:val="nothing"/>
      <w:lvlText w:val="（%1）"/>
      <w:lvlJc w:val="left"/>
      <w:rPr>
        <w:rFonts w:hint="eastAsia"/>
        <w:b/>
        <w:bCs/>
      </w:rPr>
    </w:lvl>
  </w:abstractNum>
  <w:abstractNum w:abstractNumId="1">
    <w:nsid w:val="327579A1"/>
    <w:multiLevelType w:val="multilevel"/>
    <w:tmpl w:val="327579A1"/>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
  <w:docVars>
    <w:docVar w:name="commondata" w:val="eyJoZGlkIjoiZTMzMzg4MTY1NTYxMDdiMGZkMmY0OTBkNGY0MjA1MjYifQ=="/>
  </w:docVars>
  <w:rsids>
    <w:rsidRoot w:val="00B21AA1"/>
    <w:rsid w:val="000452EA"/>
    <w:rsid w:val="00081296"/>
    <w:rsid w:val="00164C26"/>
    <w:rsid w:val="00191D96"/>
    <w:rsid w:val="001B612A"/>
    <w:rsid w:val="00212200"/>
    <w:rsid w:val="00215253"/>
    <w:rsid w:val="0023109D"/>
    <w:rsid w:val="0026128C"/>
    <w:rsid w:val="002F4547"/>
    <w:rsid w:val="00327C99"/>
    <w:rsid w:val="00350802"/>
    <w:rsid w:val="003D6B54"/>
    <w:rsid w:val="003F4244"/>
    <w:rsid w:val="00433289"/>
    <w:rsid w:val="004408DD"/>
    <w:rsid w:val="00472936"/>
    <w:rsid w:val="004A43FF"/>
    <w:rsid w:val="004D1DC0"/>
    <w:rsid w:val="004F0E3A"/>
    <w:rsid w:val="00514BE9"/>
    <w:rsid w:val="005529F0"/>
    <w:rsid w:val="00580340"/>
    <w:rsid w:val="005F5018"/>
    <w:rsid w:val="006A0FCD"/>
    <w:rsid w:val="006D3B50"/>
    <w:rsid w:val="00704B40"/>
    <w:rsid w:val="00715EB3"/>
    <w:rsid w:val="007B0369"/>
    <w:rsid w:val="008B0602"/>
    <w:rsid w:val="00925D81"/>
    <w:rsid w:val="0093563C"/>
    <w:rsid w:val="00972A56"/>
    <w:rsid w:val="00A33626"/>
    <w:rsid w:val="00A53321"/>
    <w:rsid w:val="00A734F5"/>
    <w:rsid w:val="00AB5461"/>
    <w:rsid w:val="00AF39E4"/>
    <w:rsid w:val="00B158EC"/>
    <w:rsid w:val="00B161C0"/>
    <w:rsid w:val="00B21AA1"/>
    <w:rsid w:val="00BA1960"/>
    <w:rsid w:val="00C75857"/>
    <w:rsid w:val="00C90E36"/>
    <w:rsid w:val="00CF342A"/>
    <w:rsid w:val="00D23F1D"/>
    <w:rsid w:val="00D26E5E"/>
    <w:rsid w:val="00D349F0"/>
    <w:rsid w:val="00D363DB"/>
    <w:rsid w:val="00D5787B"/>
    <w:rsid w:val="00D920F6"/>
    <w:rsid w:val="00DB39E2"/>
    <w:rsid w:val="00DE1D44"/>
    <w:rsid w:val="00DE23A1"/>
    <w:rsid w:val="00F644F0"/>
    <w:rsid w:val="00F80B40"/>
    <w:rsid w:val="00FD2B4E"/>
    <w:rsid w:val="01550D62"/>
    <w:rsid w:val="01574A1F"/>
    <w:rsid w:val="02153168"/>
    <w:rsid w:val="02527B46"/>
    <w:rsid w:val="025709EF"/>
    <w:rsid w:val="02A912FA"/>
    <w:rsid w:val="043D5E09"/>
    <w:rsid w:val="04CE349C"/>
    <w:rsid w:val="056A57F8"/>
    <w:rsid w:val="059A7E4B"/>
    <w:rsid w:val="065F1B69"/>
    <w:rsid w:val="06E65352"/>
    <w:rsid w:val="08A41020"/>
    <w:rsid w:val="0A0303E6"/>
    <w:rsid w:val="0C6531BD"/>
    <w:rsid w:val="0DFA7935"/>
    <w:rsid w:val="0E9346FD"/>
    <w:rsid w:val="0F8D06EA"/>
    <w:rsid w:val="106E4B9F"/>
    <w:rsid w:val="13924063"/>
    <w:rsid w:val="14EC6526"/>
    <w:rsid w:val="16EA111F"/>
    <w:rsid w:val="17025D96"/>
    <w:rsid w:val="177B16DD"/>
    <w:rsid w:val="199B23CE"/>
    <w:rsid w:val="1B670199"/>
    <w:rsid w:val="1C2A7637"/>
    <w:rsid w:val="1DC061F9"/>
    <w:rsid w:val="1ED0096A"/>
    <w:rsid w:val="1FEF042B"/>
    <w:rsid w:val="22014950"/>
    <w:rsid w:val="221C40C8"/>
    <w:rsid w:val="22342FBD"/>
    <w:rsid w:val="23610BBF"/>
    <w:rsid w:val="23CB0E6A"/>
    <w:rsid w:val="23DA3C27"/>
    <w:rsid w:val="247759FE"/>
    <w:rsid w:val="253F4E90"/>
    <w:rsid w:val="256E7CC8"/>
    <w:rsid w:val="27C61CA0"/>
    <w:rsid w:val="2A6D50E4"/>
    <w:rsid w:val="2CDB7071"/>
    <w:rsid w:val="2D2C7FCB"/>
    <w:rsid w:val="2F364819"/>
    <w:rsid w:val="2FCD1F6D"/>
    <w:rsid w:val="31082637"/>
    <w:rsid w:val="31091AB9"/>
    <w:rsid w:val="312E32CE"/>
    <w:rsid w:val="31E5172B"/>
    <w:rsid w:val="32837079"/>
    <w:rsid w:val="328445C3"/>
    <w:rsid w:val="339D4728"/>
    <w:rsid w:val="34076784"/>
    <w:rsid w:val="344F5F7C"/>
    <w:rsid w:val="36061C97"/>
    <w:rsid w:val="37427DCD"/>
    <w:rsid w:val="387A0678"/>
    <w:rsid w:val="394D3F4C"/>
    <w:rsid w:val="39DF0685"/>
    <w:rsid w:val="3AD35612"/>
    <w:rsid w:val="3B3B4CAD"/>
    <w:rsid w:val="3C954EA1"/>
    <w:rsid w:val="3DA07301"/>
    <w:rsid w:val="3EF70C88"/>
    <w:rsid w:val="3F6C005D"/>
    <w:rsid w:val="3FA62B83"/>
    <w:rsid w:val="40F24318"/>
    <w:rsid w:val="42654C09"/>
    <w:rsid w:val="42674891"/>
    <w:rsid w:val="435C3CCA"/>
    <w:rsid w:val="4588349D"/>
    <w:rsid w:val="47957DE3"/>
    <w:rsid w:val="48026188"/>
    <w:rsid w:val="493F374E"/>
    <w:rsid w:val="495C0214"/>
    <w:rsid w:val="49F44C5D"/>
    <w:rsid w:val="4A03390B"/>
    <w:rsid w:val="4B92297F"/>
    <w:rsid w:val="4D776F41"/>
    <w:rsid w:val="4DAA371F"/>
    <w:rsid w:val="4E5125C6"/>
    <w:rsid w:val="4F5A7C58"/>
    <w:rsid w:val="4FA15887"/>
    <w:rsid w:val="53396D21"/>
    <w:rsid w:val="53BC1065"/>
    <w:rsid w:val="54F62E96"/>
    <w:rsid w:val="575C15E3"/>
    <w:rsid w:val="57CC4D78"/>
    <w:rsid w:val="57E13CBE"/>
    <w:rsid w:val="58FA1B64"/>
    <w:rsid w:val="5A344677"/>
    <w:rsid w:val="5AB11EEA"/>
    <w:rsid w:val="5AEE7EE1"/>
    <w:rsid w:val="5B8A3673"/>
    <w:rsid w:val="5C3F2A84"/>
    <w:rsid w:val="5C5E37D8"/>
    <w:rsid w:val="5D730CCD"/>
    <w:rsid w:val="5DB85283"/>
    <w:rsid w:val="5DC944B4"/>
    <w:rsid w:val="5E381A8A"/>
    <w:rsid w:val="5E507A2C"/>
    <w:rsid w:val="601259E5"/>
    <w:rsid w:val="62176EB0"/>
    <w:rsid w:val="65B101E9"/>
    <w:rsid w:val="676914D5"/>
    <w:rsid w:val="697274F4"/>
    <w:rsid w:val="69B31FE7"/>
    <w:rsid w:val="6B633598"/>
    <w:rsid w:val="6DB30807"/>
    <w:rsid w:val="6DE57D58"/>
    <w:rsid w:val="6EC27631"/>
    <w:rsid w:val="706B662B"/>
    <w:rsid w:val="71C1726B"/>
    <w:rsid w:val="72181605"/>
    <w:rsid w:val="73500678"/>
    <w:rsid w:val="73D66BE6"/>
    <w:rsid w:val="742E79B3"/>
    <w:rsid w:val="74BD364F"/>
    <w:rsid w:val="766C08D7"/>
    <w:rsid w:val="77471FC0"/>
    <w:rsid w:val="77C96E79"/>
    <w:rsid w:val="79FB716F"/>
    <w:rsid w:val="7A1C2EE6"/>
    <w:rsid w:val="7AB62AEE"/>
    <w:rsid w:val="7BD056C1"/>
    <w:rsid w:val="7BD07F16"/>
    <w:rsid w:val="7BDF73D3"/>
    <w:rsid w:val="7CE704CD"/>
    <w:rsid w:val="7DBD4D5E"/>
    <w:rsid w:val="7E7C5F29"/>
    <w:rsid w:val="7F002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heme="minorHAnsi" w:hAnsiTheme="minorHAnsi" w:eastAsiaTheme="minorEastAsia" w:cstheme="minorBidi"/>
      <w:kern w:val="2"/>
      <w:sz w:val="21"/>
      <w:szCs w:val="22"/>
      <w:lang w:val="en-US" w:eastAsia="zh-CN" w:bidi="ar-SA"/>
    </w:rPr>
  </w:style>
  <w:style w:type="paragraph" w:styleId="3">
    <w:name w:val="heading 2"/>
    <w:basedOn w:val="1"/>
    <w:next w:val="1"/>
    <w:unhideWhenUsed/>
    <w:qFormat/>
    <w:uiPriority w:val="9"/>
    <w:pPr>
      <w:keepNext/>
      <w:keepLines/>
      <w:spacing w:before="156" w:after="156"/>
      <w:outlineLvl w:val="1"/>
    </w:pPr>
    <w:rPr>
      <w:szCs w:val="21"/>
    </w:rPr>
  </w:style>
  <w:style w:type="paragraph" w:styleId="4">
    <w:name w:val="heading 3"/>
    <w:basedOn w:val="1"/>
    <w:next w:val="1"/>
    <w:unhideWhenUsed/>
    <w:qFormat/>
    <w:uiPriority w:val="9"/>
    <w:pPr>
      <w:keepNext/>
      <w:keepLines/>
      <w:spacing w:before="300" w:after="300" w:line="241" w:lineRule="auto"/>
      <w:jc w:val="both"/>
      <w:outlineLvl w:val="2"/>
    </w:pPr>
    <w:rPr>
      <w:rFonts w:eastAsia="宋体"/>
      <w:szCs w:val="21"/>
    </w:rPr>
  </w:style>
  <w:style w:type="character" w:default="1" w:styleId="15">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2">
    <w:name w:val="Body Text Indent"/>
    <w:basedOn w:val="1"/>
    <w:qFormat/>
    <w:uiPriority w:val="0"/>
    <w:pPr>
      <w:spacing w:after="120"/>
      <w:ind w:left="420" w:leftChars="200"/>
    </w:pPr>
  </w:style>
  <w:style w:type="paragraph" w:styleId="5">
    <w:name w:val="annotation text"/>
    <w:basedOn w:val="1"/>
    <w:link w:val="24"/>
    <w:semiHidden/>
    <w:unhideWhenUsed/>
    <w:qFormat/>
    <w:uiPriority w:val="99"/>
  </w:style>
  <w:style w:type="paragraph" w:styleId="6">
    <w:name w:val="Body Text"/>
    <w:basedOn w:val="1"/>
    <w:unhideWhenUsed/>
    <w:qFormat/>
    <w:uiPriority w:val="99"/>
    <w:pPr>
      <w:spacing w:after="120"/>
    </w:pPr>
    <w:rPr>
      <w:kern w:val="0"/>
      <w:sz w:val="20"/>
    </w:rPr>
  </w:style>
  <w:style w:type="paragraph" w:styleId="7">
    <w:name w:val="footer"/>
    <w:basedOn w:val="1"/>
    <w:link w:val="27"/>
    <w:unhideWhenUsed/>
    <w:qFormat/>
    <w:uiPriority w:val="99"/>
    <w:pPr>
      <w:tabs>
        <w:tab w:val="center" w:pos="4153"/>
        <w:tab w:val="right" w:pos="8306"/>
      </w:tabs>
      <w:snapToGrid w:val="0"/>
    </w:pPr>
    <w:rPr>
      <w:sz w:val="18"/>
      <w:szCs w:val="18"/>
    </w:rPr>
  </w:style>
  <w:style w:type="paragraph" w:styleId="8">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unhideWhenUsed/>
    <w:qFormat/>
    <w:uiPriority w:val="39"/>
    <w:pPr>
      <w:ind w:left="420" w:leftChars="200"/>
    </w:pPr>
  </w:style>
  <w:style w:type="paragraph" w:styleId="11">
    <w:name w:val="Normal (Web)"/>
    <w:basedOn w:val="1"/>
    <w:unhideWhenUsed/>
    <w:qFormat/>
    <w:uiPriority w:val="99"/>
    <w:pPr>
      <w:widowControl/>
      <w:spacing w:before="100" w:beforeAutospacing="1" w:after="100" w:afterAutospacing="1"/>
    </w:pPr>
    <w:rPr>
      <w:rFonts w:ascii="宋体" w:hAnsi="宋体" w:eastAsia="宋体" w:cs="宋体"/>
      <w:kern w:val="0"/>
      <w:sz w:val="24"/>
      <w:szCs w:val="24"/>
    </w:rPr>
  </w:style>
  <w:style w:type="paragraph" w:styleId="12">
    <w:name w:val="annotation subject"/>
    <w:basedOn w:val="5"/>
    <w:next w:val="5"/>
    <w:link w:val="25"/>
    <w:semiHidden/>
    <w:unhideWhenUsed/>
    <w:qFormat/>
    <w:uiPriority w:val="99"/>
    <w:rPr>
      <w:b/>
      <w:bCs/>
    </w:rPr>
  </w:style>
  <w:style w:type="table" w:styleId="14">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22"/>
    <w:rPr>
      <w:b/>
      <w:bCs/>
    </w:rPr>
  </w:style>
  <w:style w:type="character" w:styleId="17">
    <w:name w:val="Hyperlink"/>
    <w:basedOn w:val="15"/>
    <w:semiHidden/>
    <w:unhideWhenUsed/>
    <w:qFormat/>
    <w:uiPriority w:val="99"/>
    <w:rPr>
      <w:color w:val="0000FF"/>
      <w:u w:val="single"/>
    </w:rPr>
  </w:style>
  <w:style w:type="character" w:styleId="18">
    <w:name w:val="annotation reference"/>
    <w:basedOn w:val="15"/>
    <w:semiHidden/>
    <w:unhideWhenUsed/>
    <w:qFormat/>
    <w:uiPriority w:val="99"/>
    <w:rPr>
      <w:sz w:val="21"/>
      <w:szCs w:val="21"/>
    </w:rPr>
  </w:style>
  <w:style w:type="paragraph" w:customStyle="1" w:styleId="19">
    <w:name w:val="Header 1"/>
    <w:qFormat/>
    <w:uiPriority w:val="0"/>
    <w:pPr>
      <w:jc w:val="right"/>
    </w:pPr>
    <w:rPr>
      <w:rFonts w:ascii="宋体" w:eastAsia="宋体" w:hAnsiTheme="minorHAnsi" w:cstheme="minorBidi"/>
      <w:kern w:val="2"/>
      <w:sz w:val="18"/>
      <w:szCs w:val="18"/>
      <w:lang w:val="en-US" w:eastAsia="zh-CN" w:bidi="ar-SA"/>
    </w:rPr>
  </w:style>
  <w:style w:type="paragraph" w:customStyle="1" w:styleId="20">
    <w:name w:val="heading h1"/>
    <w:basedOn w:val="1"/>
    <w:next w:val="1"/>
    <w:qFormat/>
    <w:uiPriority w:val="9"/>
    <w:pPr>
      <w:keepNext/>
      <w:keepLines/>
      <w:spacing w:before="240" w:after="240" w:line="578" w:lineRule="auto"/>
      <w:outlineLvl w:val="0"/>
    </w:pPr>
    <w:rPr>
      <w:kern w:val="44"/>
      <w:sz w:val="44"/>
      <w:szCs w:val="44"/>
    </w:rPr>
  </w:style>
  <w:style w:type="paragraph" w:customStyle="1" w:styleId="21">
    <w:name w:val="fotter 1"/>
    <w:qFormat/>
    <w:uiPriority w:val="0"/>
    <w:pPr>
      <w:jc w:val="right"/>
    </w:pPr>
    <w:rPr>
      <w:rFonts w:ascii="宋体" w:eastAsia="宋体" w:hAnsiTheme="minorHAnsi" w:cstheme="minorBidi"/>
      <w:kern w:val="2"/>
      <w:sz w:val="18"/>
      <w:szCs w:val="18"/>
      <w:lang w:val="en-US" w:eastAsia="zh-CN" w:bidi="ar-SA"/>
    </w:rPr>
  </w:style>
  <w:style w:type="character" w:customStyle="1" w:styleId="22">
    <w:name w:val="15"/>
    <w:basedOn w:val="15"/>
    <w:qFormat/>
    <w:uiPriority w:val="0"/>
  </w:style>
  <w:style w:type="paragraph" w:customStyle="1" w:styleId="23">
    <w:name w:val="16"/>
    <w:basedOn w:val="1"/>
    <w:qFormat/>
    <w:uiPriority w:val="0"/>
    <w:pPr>
      <w:widowControl/>
      <w:spacing w:before="100" w:beforeAutospacing="1" w:after="100" w:afterAutospacing="1"/>
    </w:pPr>
    <w:rPr>
      <w:rFonts w:ascii="宋体" w:hAnsi="宋体" w:eastAsia="宋体" w:cs="宋体"/>
      <w:kern w:val="0"/>
      <w:sz w:val="24"/>
      <w:szCs w:val="24"/>
    </w:rPr>
  </w:style>
  <w:style w:type="character" w:customStyle="1" w:styleId="24">
    <w:name w:val="批注文字 字符"/>
    <w:basedOn w:val="15"/>
    <w:link w:val="5"/>
    <w:semiHidden/>
    <w:qFormat/>
    <w:uiPriority w:val="99"/>
  </w:style>
  <w:style w:type="character" w:customStyle="1" w:styleId="25">
    <w:name w:val="批注主题 字符"/>
    <w:basedOn w:val="24"/>
    <w:link w:val="12"/>
    <w:semiHidden/>
    <w:qFormat/>
    <w:uiPriority w:val="99"/>
    <w:rPr>
      <w:b/>
      <w:bCs/>
    </w:rPr>
  </w:style>
  <w:style w:type="character" w:customStyle="1" w:styleId="26">
    <w:name w:val="页眉 字符"/>
    <w:basedOn w:val="15"/>
    <w:link w:val="8"/>
    <w:qFormat/>
    <w:uiPriority w:val="99"/>
    <w:rPr>
      <w:sz w:val="18"/>
      <w:szCs w:val="18"/>
    </w:rPr>
  </w:style>
  <w:style w:type="character" w:customStyle="1" w:styleId="27">
    <w:name w:val="页脚 字符"/>
    <w:basedOn w:val="15"/>
    <w:link w:val="7"/>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8A3D04-524F-4188-9897-B9C43FD67D71}">
  <ds:schemaRefs/>
</ds:datastoreItem>
</file>

<file path=docProps/app.xml><?xml version="1.0" encoding="utf-8"?>
<Properties xmlns="http://schemas.openxmlformats.org/officeDocument/2006/extended-properties" xmlns:vt="http://schemas.openxmlformats.org/officeDocument/2006/docPropsVTypes">
  <Template>Normal</Template>
  <Pages>186</Pages>
  <Words>137657</Words>
  <Characters>181548</Characters>
  <Lines>1421</Lines>
  <Paragraphs>400</Paragraphs>
  <TotalTime>6</TotalTime>
  <ScaleCrop>false</ScaleCrop>
  <LinksUpToDate>false</LinksUpToDate>
  <CharactersWithSpaces>182672</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2023-03-27T06:00:00Z</dcterms:created>
  <dc:creator>Administrator</dc:creator>
  <cp:lastModifiedBy>吴俊诣</cp:lastModifiedBy>
  <cp:lastPrinted>2023-03-30T00:01:00Z</cp:lastPrinted>
  <dcterms:modified xsi:type="dcterms:W3CDTF">2023-04-21T02:46:57Z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524FF8C88E7A4C26BE8DC72D64CA6E16</vt:lpwstr>
  </property>
</Properties>
</file>